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F41A" w14:textId="3A738525" w:rsidR="00FC7721" w:rsidRPr="00D54DC6" w:rsidRDefault="00FC7721" w:rsidP="007432C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28"/>
          <w:szCs w:val="28"/>
        </w:rPr>
      </w:pPr>
      <w:r w:rsidRPr="00D54DC6">
        <w:rPr>
          <w:rStyle w:val="Aucun"/>
          <w:rFonts w:ascii="Lato" w:hAnsi="Lato"/>
          <w:b/>
          <w:bCs/>
          <w:color w:val="1F4E79" w:themeColor="accent5" w:themeShade="80"/>
          <w:sz w:val="28"/>
          <w:szCs w:val="28"/>
        </w:rPr>
        <w:t>VADEMECUM PROCEDURE PARTICIPATIVE DE MISE EN ETAT</w:t>
      </w:r>
    </w:p>
    <w:p w14:paraId="01B03050" w14:textId="77777777" w:rsidR="005235AB" w:rsidRPr="005811BF" w:rsidRDefault="005235AB" w:rsidP="005235AB">
      <w:pPr>
        <w:pStyle w:val="Default"/>
        <w:rPr>
          <w:rFonts w:ascii="Lato" w:hAnsi="Lato"/>
        </w:rPr>
      </w:pPr>
    </w:p>
    <w:p w14:paraId="5F3A1C44" w14:textId="77777777" w:rsidR="005235AB" w:rsidRPr="005811BF" w:rsidRDefault="005235AB" w:rsidP="005235AB">
      <w:pPr>
        <w:pStyle w:val="Default"/>
        <w:rPr>
          <w:rFonts w:ascii="Lato" w:hAnsi="Lato"/>
          <w:sz w:val="23"/>
          <w:szCs w:val="23"/>
        </w:rPr>
      </w:pPr>
      <w:r w:rsidRPr="005811BF">
        <w:rPr>
          <w:rFonts w:ascii="Lato" w:hAnsi="Lato"/>
        </w:rPr>
        <w:t xml:space="preserve"> </w:t>
      </w:r>
      <w:r w:rsidRPr="005811BF">
        <w:rPr>
          <w:rFonts w:ascii="Lato" w:hAnsi="Lato"/>
          <w:i/>
          <w:iCs/>
          <w:sz w:val="23"/>
          <w:szCs w:val="23"/>
        </w:rPr>
        <w:t xml:space="preserve">Ce document est amené à évoluer en fonction de la pratique et de la jurisprudence </w:t>
      </w:r>
    </w:p>
    <w:p w14:paraId="1D6EB519" w14:textId="3329850C" w:rsidR="005235AB" w:rsidRPr="00874402" w:rsidRDefault="005235AB" w:rsidP="005235AB">
      <w:pPr>
        <w:pStyle w:val="Default"/>
        <w:rPr>
          <w:rFonts w:ascii="Lato" w:hAnsi="Lato"/>
          <w:b/>
          <w:bCs/>
          <w:sz w:val="23"/>
          <w:szCs w:val="23"/>
        </w:rPr>
      </w:pPr>
    </w:p>
    <w:p w14:paraId="5AE1ED28" w14:textId="28540288" w:rsidR="00681479" w:rsidRPr="00874402" w:rsidRDefault="00681479" w:rsidP="005235AB">
      <w:pPr>
        <w:pStyle w:val="Default"/>
        <w:rPr>
          <w:rFonts w:ascii="Lato" w:hAnsi="Lato"/>
          <w:b/>
          <w:bCs/>
          <w:sz w:val="23"/>
          <w:szCs w:val="23"/>
        </w:rPr>
      </w:pPr>
    </w:p>
    <w:p w14:paraId="535B472D" w14:textId="08986355" w:rsidR="005235AB"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Vérifications préalables : </w:t>
      </w:r>
    </w:p>
    <w:p w14:paraId="58808319" w14:textId="122DF0B0" w:rsidR="005235AB" w:rsidRPr="00874402" w:rsidRDefault="005235AB" w:rsidP="005235AB">
      <w:pPr>
        <w:pStyle w:val="Default"/>
        <w:spacing w:after="22"/>
        <w:rPr>
          <w:rFonts w:ascii="Lato" w:hAnsi="Lato"/>
          <w:sz w:val="23"/>
          <w:szCs w:val="23"/>
        </w:rPr>
      </w:pPr>
    </w:p>
    <w:p w14:paraId="4CC16DEA" w14:textId="163DB61F" w:rsidR="005235AB" w:rsidRPr="00874402" w:rsidRDefault="005235AB" w:rsidP="005235AB">
      <w:pPr>
        <w:pStyle w:val="Default"/>
        <w:spacing w:after="22"/>
        <w:rPr>
          <w:rFonts w:ascii="Lato" w:hAnsi="Lato"/>
          <w:sz w:val="23"/>
          <w:szCs w:val="23"/>
        </w:rPr>
      </w:pPr>
      <w:r w:rsidRPr="00874402">
        <w:rPr>
          <w:rFonts w:ascii="Lato" w:hAnsi="Lato"/>
          <w:sz w:val="23"/>
          <w:szCs w:val="23"/>
        </w:rPr>
        <w:t xml:space="preserve">- Client de bonne foi </w:t>
      </w:r>
    </w:p>
    <w:p w14:paraId="33A27516" w14:textId="77777777" w:rsidR="005235AB" w:rsidRPr="00874402" w:rsidRDefault="005235AB" w:rsidP="005235AB">
      <w:pPr>
        <w:pStyle w:val="Default"/>
        <w:spacing w:after="22"/>
        <w:rPr>
          <w:rFonts w:ascii="Lato" w:hAnsi="Lato"/>
          <w:sz w:val="23"/>
          <w:szCs w:val="23"/>
        </w:rPr>
      </w:pPr>
      <w:r w:rsidRPr="00874402">
        <w:rPr>
          <w:rFonts w:ascii="Lato" w:hAnsi="Lato"/>
          <w:sz w:val="23"/>
          <w:szCs w:val="23"/>
        </w:rPr>
        <w:t xml:space="preserve">- Droit objet du litige est un droit disponible, ou un divorce ou une séparation de corps </w:t>
      </w:r>
    </w:p>
    <w:p w14:paraId="1B7CCACB" w14:textId="07774930" w:rsidR="005235AB" w:rsidRDefault="005235AB" w:rsidP="005235AB">
      <w:pPr>
        <w:pStyle w:val="Default"/>
        <w:rPr>
          <w:rFonts w:ascii="Lato" w:hAnsi="Lato"/>
          <w:sz w:val="23"/>
          <w:szCs w:val="23"/>
        </w:rPr>
      </w:pPr>
      <w:r w:rsidRPr="00874402">
        <w:rPr>
          <w:rFonts w:ascii="Lato" w:hAnsi="Lato"/>
          <w:sz w:val="23"/>
          <w:szCs w:val="23"/>
        </w:rPr>
        <w:t xml:space="preserve">- Capacité juridique, droits et titres du client </w:t>
      </w:r>
    </w:p>
    <w:p w14:paraId="4572C5A6" w14:textId="5B0040A7" w:rsidR="006E5E9C" w:rsidRPr="00E63041" w:rsidRDefault="006E5E9C" w:rsidP="006E5E9C">
      <w:pPr>
        <w:pStyle w:val="Default"/>
        <w:spacing w:after="22"/>
        <w:jc w:val="both"/>
        <w:rPr>
          <w:rFonts w:ascii="Lato" w:hAnsi="Lato"/>
          <w:i/>
          <w:iCs/>
          <w:color w:val="auto"/>
          <w:sz w:val="23"/>
          <w:szCs w:val="23"/>
        </w:rPr>
      </w:pPr>
      <w:r w:rsidRPr="00E63041">
        <w:rPr>
          <w:rFonts w:ascii="Lato" w:hAnsi="Lato"/>
          <w:i/>
          <w:iCs/>
          <w:color w:val="auto"/>
          <w:sz w:val="23"/>
          <w:szCs w:val="23"/>
        </w:rPr>
        <w:t xml:space="preserve">- Existe-t-il une </w:t>
      </w:r>
      <w:r w:rsidRPr="00E63041">
        <w:rPr>
          <w:rStyle w:val="Aucun"/>
          <w:rFonts w:ascii="Lato" w:hAnsi="Lato"/>
          <w:i/>
          <w:iCs/>
          <w:color w:val="auto"/>
          <w:sz w:val="23"/>
          <w:szCs w:val="23"/>
        </w:rPr>
        <w:t>fin de non-recevoir, exception de procédure ou application des dispositions de l’article 47 du code de procédure civile ?</w:t>
      </w:r>
      <w:r w:rsidRPr="00E63041">
        <w:rPr>
          <w:rFonts w:ascii="Lato" w:hAnsi="Lato"/>
          <w:i/>
          <w:iCs/>
          <w:color w:val="auto"/>
          <w:sz w:val="23"/>
          <w:szCs w:val="23"/>
        </w:rPr>
        <w:t xml:space="preserve"> Dans l’affirmative, le client veut-il expressément y renoncer ?</w:t>
      </w:r>
    </w:p>
    <w:p w14:paraId="1D7C9EE5" w14:textId="0ECDEC6E" w:rsidR="005235AB" w:rsidRPr="00874402" w:rsidRDefault="005235AB" w:rsidP="005235AB">
      <w:pPr>
        <w:pStyle w:val="Default"/>
        <w:rPr>
          <w:rFonts w:ascii="Lato" w:hAnsi="Lato"/>
          <w:sz w:val="23"/>
          <w:szCs w:val="23"/>
        </w:rPr>
      </w:pPr>
    </w:p>
    <w:p w14:paraId="0CF3E8E4" w14:textId="77777777" w:rsidR="00681479" w:rsidRPr="00874402" w:rsidRDefault="00681479" w:rsidP="005235AB">
      <w:pPr>
        <w:pStyle w:val="Default"/>
        <w:rPr>
          <w:rFonts w:ascii="Lato" w:hAnsi="Lato"/>
          <w:sz w:val="23"/>
          <w:szCs w:val="23"/>
        </w:rPr>
      </w:pPr>
    </w:p>
    <w:p w14:paraId="685F288E" w14:textId="41B19E65" w:rsidR="005235AB"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Informer le client de la possibilité de conclure une procédure participative de mise en état</w:t>
      </w:r>
    </w:p>
    <w:p w14:paraId="14177BB8" w14:textId="1C5700EA" w:rsidR="005235AB" w:rsidRDefault="005235AB" w:rsidP="005235AB">
      <w:pPr>
        <w:pStyle w:val="Default"/>
        <w:rPr>
          <w:rFonts w:ascii="Lato" w:hAnsi="Lato"/>
          <w:b/>
          <w:bCs/>
          <w:color w:val="1F4E79" w:themeColor="accent5" w:themeShade="80"/>
          <w:sz w:val="23"/>
          <w:szCs w:val="23"/>
          <w:u w:val="single"/>
        </w:rPr>
      </w:pPr>
    </w:p>
    <w:p w14:paraId="50CACBFA" w14:textId="77777777" w:rsidR="007A46CA" w:rsidRPr="00874402" w:rsidRDefault="007A46CA" w:rsidP="005235AB">
      <w:pPr>
        <w:pStyle w:val="Default"/>
        <w:rPr>
          <w:rFonts w:ascii="Lato" w:hAnsi="Lato"/>
          <w:b/>
          <w:bCs/>
          <w:color w:val="1F4E79" w:themeColor="accent5" w:themeShade="80"/>
          <w:sz w:val="23"/>
          <w:szCs w:val="23"/>
          <w:u w:val="single"/>
        </w:rPr>
      </w:pPr>
    </w:p>
    <w:p w14:paraId="08E5AC2C" w14:textId="4D8824B9" w:rsidR="005235AB" w:rsidRPr="007A46CA" w:rsidRDefault="005235AB" w:rsidP="007A46CA">
      <w:pPr>
        <w:pStyle w:val="Default"/>
        <w:numPr>
          <w:ilvl w:val="0"/>
          <w:numId w:val="1"/>
        </w:numPr>
        <w:ind w:left="426"/>
        <w:rPr>
          <w:rFonts w:ascii="Lato" w:hAnsi="Lato"/>
          <w:b/>
          <w:bCs/>
          <w:color w:val="1F4E79" w:themeColor="accent5" w:themeShade="80"/>
          <w:sz w:val="23"/>
          <w:szCs w:val="23"/>
          <w:u w:val="single"/>
        </w:rPr>
      </w:pPr>
      <w:r w:rsidRPr="007A46CA">
        <w:rPr>
          <w:rFonts w:ascii="Lato" w:hAnsi="Lato"/>
          <w:b/>
          <w:bCs/>
          <w:color w:val="1F4E79" w:themeColor="accent5" w:themeShade="80"/>
          <w:sz w:val="23"/>
          <w:szCs w:val="23"/>
          <w:u w:val="single"/>
        </w:rPr>
        <w:t>Contact préalable à la rédaction de la convention avec le confrère</w:t>
      </w:r>
      <w:r w:rsidRPr="00BC0E7E">
        <w:rPr>
          <w:rFonts w:ascii="Lato" w:hAnsi="Lato"/>
          <w:bCs/>
          <w:color w:val="1F4E79" w:themeColor="accent5" w:themeShade="80"/>
          <w:sz w:val="23"/>
          <w:szCs w:val="23"/>
        </w:rPr>
        <w:t xml:space="preserve"> </w:t>
      </w:r>
      <w:r w:rsidR="00BC0E7E" w:rsidRPr="00BC0E7E">
        <w:rPr>
          <w:rFonts w:ascii="Lato" w:hAnsi="Lato"/>
          <w:bCs/>
          <w:color w:val="auto"/>
          <w:sz w:val="23"/>
          <w:szCs w:val="23"/>
        </w:rPr>
        <w:t>(</w:t>
      </w:r>
      <w:r w:rsidR="00681479" w:rsidRPr="00BC0E7E">
        <w:rPr>
          <w:color w:val="auto"/>
          <w:sz w:val="20"/>
          <w:szCs w:val="16"/>
        </w:rPr>
        <w:footnoteReference w:id="1"/>
      </w:r>
      <w:r w:rsidR="00BC0E7E">
        <w:rPr>
          <w:rFonts w:ascii="Lato" w:hAnsi="Lato"/>
          <w:bCs/>
          <w:color w:val="auto"/>
          <w:sz w:val="23"/>
          <w:szCs w:val="23"/>
        </w:rPr>
        <w:t>,</w:t>
      </w:r>
      <w:r w:rsidR="00D54DC6" w:rsidRPr="00BC0E7E">
        <w:rPr>
          <w:rFonts w:ascii="Lato" w:hAnsi="Lato"/>
          <w:bCs/>
          <w:color w:val="auto"/>
          <w:sz w:val="20"/>
          <w:szCs w:val="16"/>
        </w:rPr>
        <w:t xml:space="preserve"> </w:t>
      </w:r>
      <w:r w:rsidR="00681479" w:rsidRPr="00BC0E7E">
        <w:rPr>
          <w:color w:val="auto"/>
          <w:sz w:val="20"/>
          <w:szCs w:val="16"/>
        </w:rPr>
        <w:footnoteReference w:id="2"/>
      </w:r>
      <w:r w:rsidR="00BC0E7E" w:rsidRPr="00BC0E7E">
        <w:rPr>
          <w:rFonts w:ascii="Lato" w:hAnsi="Lato"/>
          <w:bCs/>
          <w:color w:val="auto"/>
          <w:sz w:val="20"/>
          <w:szCs w:val="16"/>
        </w:rPr>
        <w:t>)</w:t>
      </w:r>
    </w:p>
    <w:p w14:paraId="35727A33" w14:textId="77777777" w:rsidR="007F1849" w:rsidRPr="00874402" w:rsidRDefault="007F1849" w:rsidP="00BC0E7E">
      <w:pPr>
        <w:pStyle w:val="Default"/>
        <w:rPr>
          <w:rFonts w:ascii="Lato" w:hAnsi="Lato"/>
          <w:color w:val="auto"/>
          <w:sz w:val="23"/>
          <w:szCs w:val="23"/>
        </w:rPr>
      </w:pPr>
    </w:p>
    <w:p w14:paraId="3019B9F4"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Lister les demandes de chaque partie et l’objet du différend </w:t>
      </w:r>
    </w:p>
    <w:p w14:paraId="65FF87CD"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Chaque avocat liste les pièces qu’il souhaite recevoir de l’autre partie au vu des demandes de chacun </w:t>
      </w:r>
    </w:p>
    <w:p w14:paraId="1709AC3A" w14:textId="77777777"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xml:space="preserve">- Prise de contact avec un technicien pour déterminer son temps prévisible d’intervention, son coût </w:t>
      </w:r>
    </w:p>
    <w:p w14:paraId="6ECA30D5" w14:textId="77777777" w:rsidR="005235AB" w:rsidRPr="00874402" w:rsidRDefault="005235AB" w:rsidP="005235AB">
      <w:pPr>
        <w:pStyle w:val="Default"/>
        <w:spacing w:after="17"/>
        <w:rPr>
          <w:rFonts w:ascii="Lato" w:hAnsi="Lato"/>
          <w:color w:val="auto"/>
          <w:sz w:val="23"/>
          <w:szCs w:val="23"/>
        </w:rPr>
      </w:pPr>
      <w:r w:rsidRPr="00874402">
        <w:rPr>
          <w:rFonts w:ascii="Lato" w:hAnsi="Lato"/>
          <w:color w:val="auto"/>
          <w:sz w:val="23"/>
          <w:szCs w:val="23"/>
        </w:rPr>
        <w:t>- Proposition des dates d’échange des pièces, des dates d’échange des écritures, de la date du terme de la convention</w:t>
      </w:r>
    </w:p>
    <w:p w14:paraId="2CF170EE" w14:textId="065D9BA9" w:rsidR="005235AB" w:rsidRPr="00874402" w:rsidRDefault="005235AB" w:rsidP="005235AB">
      <w:pPr>
        <w:pStyle w:val="Default"/>
        <w:spacing w:after="17"/>
        <w:rPr>
          <w:rFonts w:ascii="Lato" w:hAnsi="Lato" w:cs="Wingdings"/>
          <w:color w:val="auto"/>
          <w:sz w:val="23"/>
          <w:szCs w:val="23"/>
        </w:rPr>
      </w:pPr>
      <w:r w:rsidRPr="00874402">
        <w:rPr>
          <w:rFonts w:ascii="Lato" w:hAnsi="Lato"/>
          <w:color w:val="auto"/>
          <w:sz w:val="23"/>
          <w:szCs w:val="23"/>
        </w:rPr>
        <w:t xml:space="preserve">- Décider du devenir de la procédure judiciaire  </w:t>
      </w:r>
    </w:p>
    <w:p w14:paraId="6978D862" w14:textId="0C688637" w:rsidR="005235AB" w:rsidRPr="00874402" w:rsidRDefault="005235AB" w:rsidP="005235AB">
      <w:pPr>
        <w:pStyle w:val="Default"/>
        <w:spacing w:after="17"/>
        <w:rPr>
          <w:rFonts w:ascii="Lato" w:hAnsi="Lato"/>
          <w:color w:val="auto"/>
          <w:sz w:val="23"/>
          <w:szCs w:val="23"/>
        </w:rPr>
      </w:pPr>
    </w:p>
    <w:p w14:paraId="1BD4FA98" w14:textId="77777777" w:rsidR="00681479" w:rsidRPr="00874402" w:rsidRDefault="00681479" w:rsidP="005235AB">
      <w:pPr>
        <w:pStyle w:val="Default"/>
        <w:rPr>
          <w:rFonts w:ascii="Lato" w:hAnsi="Lato"/>
          <w:b/>
          <w:bCs/>
          <w:color w:val="auto"/>
          <w:sz w:val="23"/>
          <w:szCs w:val="23"/>
        </w:rPr>
      </w:pPr>
    </w:p>
    <w:p w14:paraId="5D2480C6" w14:textId="5C6D06BE" w:rsidR="007F1849" w:rsidRPr="00874402" w:rsidRDefault="005235AB"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Prise de contact avec le client</w:t>
      </w:r>
    </w:p>
    <w:p w14:paraId="6CEEBE45" w14:textId="22CAE79F" w:rsidR="005235AB" w:rsidRPr="00874402" w:rsidRDefault="005235AB" w:rsidP="007F1849">
      <w:pPr>
        <w:pStyle w:val="Default"/>
        <w:ind w:left="720"/>
        <w:rPr>
          <w:rFonts w:ascii="Lato" w:hAnsi="Lato"/>
          <w:color w:val="auto"/>
          <w:sz w:val="23"/>
          <w:szCs w:val="23"/>
        </w:rPr>
      </w:pPr>
      <w:r w:rsidRPr="00874402">
        <w:rPr>
          <w:rFonts w:ascii="Lato" w:hAnsi="Lato"/>
          <w:b/>
          <w:bCs/>
          <w:color w:val="auto"/>
          <w:sz w:val="23"/>
          <w:szCs w:val="23"/>
        </w:rPr>
        <w:t xml:space="preserve"> </w:t>
      </w:r>
    </w:p>
    <w:p w14:paraId="728E9055" w14:textId="354A76C6"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Vérif</w:t>
      </w:r>
      <w:r w:rsidR="00BC0E7E">
        <w:rPr>
          <w:rFonts w:ascii="Lato" w:hAnsi="Lato"/>
          <w:color w:val="auto"/>
          <w:sz w:val="23"/>
          <w:szCs w:val="23"/>
        </w:rPr>
        <w:t>ier avec lui l’objet du litige</w:t>
      </w:r>
    </w:p>
    <w:p w14:paraId="6243FAB9" w14:textId="05717B25" w:rsidR="005235AB" w:rsidRPr="00874402" w:rsidRDefault="005235AB" w:rsidP="005235AB">
      <w:pPr>
        <w:pStyle w:val="Default"/>
        <w:spacing w:after="22"/>
        <w:rPr>
          <w:rFonts w:ascii="Lato" w:hAnsi="Lato"/>
          <w:color w:val="auto"/>
          <w:sz w:val="23"/>
          <w:szCs w:val="23"/>
        </w:rPr>
      </w:pPr>
      <w:r w:rsidRPr="00874402">
        <w:rPr>
          <w:rFonts w:ascii="Lato" w:hAnsi="Lato"/>
          <w:color w:val="auto"/>
          <w:sz w:val="23"/>
          <w:szCs w:val="23"/>
        </w:rPr>
        <w:t>- Son acceptation d</w:t>
      </w:r>
      <w:r w:rsidR="00BC0E7E">
        <w:rPr>
          <w:rFonts w:ascii="Lato" w:hAnsi="Lato"/>
          <w:color w:val="auto"/>
          <w:sz w:val="23"/>
          <w:szCs w:val="23"/>
        </w:rPr>
        <w:t>e fournir les pièces demandées</w:t>
      </w:r>
    </w:p>
    <w:p w14:paraId="64F67022" w14:textId="76FBD86A" w:rsidR="005235AB" w:rsidRPr="00874402" w:rsidRDefault="005235AB" w:rsidP="005235AB">
      <w:pPr>
        <w:pStyle w:val="Default"/>
        <w:rPr>
          <w:rFonts w:ascii="Lato" w:hAnsi="Lato"/>
          <w:color w:val="auto"/>
          <w:sz w:val="23"/>
          <w:szCs w:val="23"/>
        </w:rPr>
      </w:pPr>
      <w:r w:rsidRPr="00874402">
        <w:rPr>
          <w:rFonts w:ascii="Lato" w:hAnsi="Lato"/>
          <w:color w:val="auto"/>
          <w:sz w:val="23"/>
          <w:szCs w:val="23"/>
        </w:rPr>
        <w:t>- Le respe</w:t>
      </w:r>
      <w:r w:rsidR="00BC0E7E">
        <w:rPr>
          <w:rFonts w:ascii="Lato" w:hAnsi="Lato"/>
          <w:color w:val="auto"/>
          <w:sz w:val="23"/>
          <w:szCs w:val="23"/>
        </w:rPr>
        <w:t>ct possible des dates suggérées</w:t>
      </w:r>
    </w:p>
    <w:p w14:paraId="0EF0F2D9" w14:textId="77777777" w:rsidR="005235AB" w:rsidRPr="00874402" w:rsidRDefault="005235AB" w:rsidP="005235AB">
      <w:pPr>
        <w:pStyle w:val="Default"/>
        <w:pageBreakBefore/>
        <w:rPr>
          <w:rFonts w:ascii="Lato" w:hAnsi="Lato"/>
          <w:color w:val="auto"/>
          <w:sz w:val="23"/>
          <w:szCs w:val="23"/>
        </w:rPr>
      </w:pPr>
    </w:p>
    <w:p w14:paraId="2DC89C71" w14:textId="088DD146" w:rsidR="003C4746" w:rsidRPr="00874402" w:rsidRDefault="005235AB" w:rsidP="00BC0E7E">
      <w:pPr>
        <w:pStyle w:val="Default"/>
        <w:numPr>
          <w:ilvl w:val="0"/>
          <w:numId w:val="1"/>
        </w:numPr>
        <w:spacing w:after="17"/>
        <w:ind w:left="426"/>
        <w:jc w:val="both"/>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Rédaction du projet de convention de procédure participative </w:t>
      </w:r>
      <w:r w:rsidR="003C4746" w:rsidRPr="00874402">
        <w:rPr>
          <w:rFonts w:ascii="Lato" w:hAnsi="Lato"/>
          <w:b/>
          <w:bCs/>
          <w:color w:val="1F4E79" w:themeColor="accent5" w:themeShade="80"/>
          <w:sz w:val="23"/>
          <w:szCs w:val="23"/>
          <w:u w:val="single"/>
        </w:rPr>
        <w:t xml:space="preserve">par l’un des avocats, </w:t>
      </w:r>
      <w:r w:rsidR="004D4C3D" w:rsidRPr="00874402">
        <w:rPr>
          <w:rFonts w:ascii="Lato" w:hAnsi="Lato"/>
          <w:b/>
          <w:bCs/>
          <w:color w:val="1F4E79" w:themeColor="accent5" w:themeShade="80"/>
          <w:sz w:val="23"/>
          <w:szCs w:val="23"/>
          <w:u w:val="single"/>
        </w:rPr>
        <w:t xml:space="preserve">dans le respect de l’article 2063 du code civil (mentions à peine de nullité), </w:t>
      </w:r>
      <w:r w:rsidRPr="00874402">
        <w:rPr>
          <w:rFonts w:ascii="Lato" w:hAnsi="Lato"/>
          <w:b/>
          <w:bCs/>
          <w:color w:val="1F4E79" w:themeColor="accent5" w:themeShade="80"/>
          <w:sz w:val="23"/>
          <w:szCs w:val="23"/>
          <w:u w:val="single"/>
        </w:rPr>
        <w:t>et communication au confrère</w:t>
      </w:r>
      <w:r w:rsidR="003C4746" w:rsidRPr="00874402">
        <w:rPr>
          <w:rFonts w:ascii="Lato" w:hAnsi="Lato"/>
          <w:b/>
          <w:bCs/>
          <w:color w:val="1F4E79" w:themeColor="accent5" w:themeShade="80"/>
          <w:sz w:val="23"/>
          <w:szCs w:val="23"/>
          <w:u w:val="single"/>
        </w:rPr>
        <w:t xml:space="preserve"> en document Word pour toutes modifications – Signature par tous.</w:t>
      </w:r>
    </w:p>
    <w:p w14:paraId="253EE621" w14:textId="77777777" w:rsidR="007F1849" w:rsidRPr="00874402" w:rsidRDefault="007F1849" w:rsidP="007F1849">
      <w:pPr>
        <w:pStyle w:val="Default"/>
        <w:spacing w:after="17"/>
        <w:ind w:left="720"/>
        <w:rPr>
          <w:rFonts w:ascii="Lato" w:hAnsi="Lato"/>
          <w:b/>
          <w:bCs/>
          <w:color w:val="1F4E79" w:themeColor="accent5" w:themeShade="80"/>
          <w:sz w:val="23"/>
          <w:szCs w:val="23"/>
          <w:u w:val="single"/>
        </w:rPr>
      </w:pPr>
    </w:p>
    <w:p w14:paraId="4FD85D99" w14:textId="77777777" w:rsidR="003C4746" w:rsidRPr="00874402" w:rsidRDefault="003C4746" w:rsidP="005235AB">
      <w:pPr>
        <w:pStyle w:val="Default"/>
        <w:spacing w:after="17"/>
        <w:rPr>
          <w:rFonts w:ascii="Lato" w:hAnsi="Lato"/>
          <w:b/>
          <w:bCs/>
          <w:color w:val="1F4E79" w:themeColor="accent5" w:themeShade="80"/>
          <w:sz w:val="23"/>
          <w:szCs w:val="23"/>
          <w:u w:val="single"/>
        </w:rPr>
      </w:pPr>
    </w:p>
    <w:p w14:paraId="29A65362" w14:textId="5A64D77A" w:rsidR="003C4746" w:rsidRPr="00874402" w:rsidRDefault="003C4746" w:rsidP="00BC0E7E">
      <w:pPr>
        <w:pStyle w:val="Default"/>
        <w:numPr>
          <w:ilvl w:val="0"/>
          <w:numId w:val="1"/>
        </w:numPr>
        <w:ind w:left="426"/>
        <w:jc w:val="both"/>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Communication de la convention au Tribunal Judiciaire </w:t>
      </w:r>
      <w:r w:rsidR="007448AA" w:rsidRPr="00874402">
        <w:rPr>
          <w:rFonts w:ascii="Lato" w:hAnsi="Lato"/>
          <w:b/>
          <w:bCs/>
          <w:color w:val="1F4E79" w:themeColor="accent5" w:themeShade="80"/>
          <w:sz w:val="23"/>
          <w:szCs w:val="23"/>
          <w:u w:val="single"/>
        </w:rPr>
        <w:t xml:space="preserve">ou à la Cour d’Appel </w:t>
      </w:r>
      <w:r w:rsidRPr="00874402">
        <w:rPr>
          <w:rFonts w:ascii="Lato" w:hAnsi="Lato"/>
          <w:b/>
          <w:bCs/>
          <w:color w:val="1F4E79" w:themeColor="accent5" w:themeShade="80"/>
          <w:sz w:val="23"/>
          <w:szCs w:val="23"/>
          <w:u w:val="single"/>
        </w:rPr>
        <w:t>pour une demande de fixation d’une date de clôture et plaidoirie, dans le cadre d’une mise en état / Information de la juridiction pour un retrait du rôle (Cour d’Appel – Tribunal Judiciaire dans le cadre d’une mise en état, ou toute Juridiction de l’ordre judiciaire dans le cadre d’une procédure orale)</w:t>
      </w:r>
    </w:p>
    <w:p w14:paraId="1C9E5E2B" w14:textId="77777777" w:rsidR="007F1849" w:rsidRPr="00874402" w:rsidRDefault="007F1849" w:rsidP="007F1849">
      <w:pPr>
        <w:pStyle w:val="Default"/>
        <w:ind w:left="720"/>
        <w:rPr>
          <w:rFonts w:ascii="Lato" w:hAnsi="Lato"/>
          <w:b/>
          <w:bCs/>
          <w:color w:val="1F4E79" w:themeColor="accent5" w:themeShade="80"/>
          <w:sz w:val="23"/>
          <w:szCs w:val="23"/>
          <w:u w:val="single"/>
        </w:rPr>
      </w:pPr>
    </w:p>
    <w:p w14:paraId="71030DE4" w14:textId="56449E52" w:rsidR="003C4746" w:rsidRPr="00874402" w:rsidRDefault="003C4746" w:rsidP="005235AB">
      <w:pPr>
        <w:pStyle w:val="Default"/>
        <w:rPr>
          <w:rFonts w:ascii="Lato" w:hAnsi="Lato"/>
          <w:b/>
          <w:bCs/>
          <w:color w:val="1F4E79" w:themeColor="accent5" w:themeShade="80"/>
          <w:sz w:val="23"/>
          <w:szCs w:val="23"/>
          <w:u w:val="single"/>
        </w:rPr>
      </w:pPr>
    </w:p>
    <w:p w14:paraId="24AE48B2" w14:textId="4D27970D" w:rsidR="007F1849" w:rsidRPr="00874402" w:rsidRDefault="003C4746" w:rsidP="00A665BC">
      <w:pPr>
        <w:pStyle w:val="Default"/>
        <w:numPr>
          <w:ilvl w:val="0"/>
          <w:numId w:val="1"/>
        </w:numPr>
        <w:ind w:left="426"/>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Déroulé du calendrier de procédure de la convention de procédure participative et </w:t>
      </w:r>
      <w:r w:rsidR="00681479" w:rsidRPr="00874402">
        <w:rPr>
          <w:rFonts w:ascii="Lato" w:hAnsi="Lato"/>
          <w:b/>
          <w:bCs/>
          <w:color w:val="1F4E79" w:themeColor="accent5" w:themeShade="80"/>
          <w:sz w:val="23"/>
          <w:szCs w:val="23"/>
          <w:u w:val="single"/>
        </w:rPr>
        <w:t>après</w:t>
      </w:r>
      <w:r w:rsidRPr="00874402">
        <w:rPr>
          <w:rFonts w:ascii="Lato" w:hAnsi="Lato"/>
          <w:b/>
          <w:bCs/>
          <w:color w:val="1F4E79" w:themeColor="accent5" w:themeShade="80"/>
          <w:sz w:val="23"/>
          <w:szCs w:val="23"/>
          <w:u w:val="single"/>
        </w:rPr>
        <w:t xml:space="preserve"> l’arrivée du terme :</w:t>
      </w:r>
    </w:p>
    <w:p w14:paraId="11D8EC1F" w14:textId="52F53991" w:rsidR="003C4746" w:rsidRPr="00874402" w:rsidRDefault="003C4746" w:rsidP="007F1849">
      <w:pPr>
        <w:pStyle w:val="Default"/>
        <w:ind w:left="720"/>
        <w:rPr>
          <w:rFonts w:ascii="Lato" w:hAnsi="Lato"/>
          <w:b/>
          <w:bCs/>
          <w:color w:val="1F4E79" w:themeColor="accent5" w:themeShade="80"/>
          <w:sz w:val="23"/>
          <w:szCs w:val="23"/>
          <w:u w:val="single"/>
        </w:rPr>
      </w:pPr>
      <w:r w:rsidRPr="00874402">
        <w:rPr>
          <w:rFonts w:ascii="Lato" w:hAnsi="Lato"/>
          <w:b/>
          <w:bCs/>
          <w:color w:val="1F4E79" w:themeColor="accent5" w:themeShade="80"/>
          <w:sz w:val="23"/>
          <w:szCs w:val="23"/>
          <w:u w:val="single"/>
        </w:rPr>
        <w:t xml:space="preserve"> </w:t>
      </w:r>
    </w:p>
    <w:p w14:paraId="282FB0CF" w14:textId="6B52C6A3" w:rsidR="00215B3B" w:rsidRPr="00874402" w:rsidRDefault="004126AA" w:rsidP="00215B3B">
      <w:pPr>
        <w:pStyle w:val="CorpsA"/>
        <w:spacing w:before="120" w:after="120"/>
        <w:rPr>
          <w:rFonts w:ascii="Lato" w:hAnsi="Lato"/>
          <w:b/>
          <w:bCs/>
          <w:i/>
          <w:iCs/>
          <w:color w:val="8EAADB" w:themeColor="accent1" w:themeTint="99"/>
          <w:sz w:val="23"/>
          <w:szCs w:val="23"/>
        </w:rPr>
      </w:pPr>
      <w:r w:rsidRPr="00874402">
        <w:rPr>
          <w:rFonts w:ascii="Lato" w:hAnsi="Lato"/>
          <w:b/>
          <w:bCs/>
          <w:i/>
          <w:iCs/>
          <w:color w:val="8EAADB" w:themeColor="accent1" w:themeTint="99"/>
          <w:sz w:val="23"/>
          <w:szCs w:val="23"/>
        </w:rPr>
        <w:t>7.</w:t>
      </w:r>
      <w:r w:rsidR="007448AA" w:rsidRPr="00874402">
        <w:rPr>
          <w:rFonts w:ascii="Lato" w:hAnsi="Lato"/>
          <w:b/>
          <w:bCs/>
          <w:i/>
          <w:iCs/>
          <w:color w:val="8EAADB" w:themeColor="accent1" w:themeTint="99"/>
          <w:sz w:val="23"/>
          <w:szCs w:val="23"/>
        </w:rPr>
        <w:t>1</w:t>
      </w:r>
      <w:r w:rsidRPr="00874402">
        <w:rPr>
          <w:rFonts w:ascii="Lato" w:hAnsi="Lato"/>
          <w:b/>
          <w:bCs/>
          <w:i/>
          <w:iCs/>
          <w:color w:val="8EAADB" w:themeColor="accent1" w:themeTint="99"/>
          <w:sz w:val="23"/>
          <w:szCs w:val="23"/>
        </w:rPr>
        <w:t xml:space="preserve"> </w:t>
      </w:r>
      <w:r w:rsidR="001658CA">
        <w:rPr>
          <w:rFonts w:ascii="Lato" w:hAnsi="Lato"/>
          <w:b/>
          <w:bCs/>
          <w:i/>
          <w:iCs/>
          <w:color w:val="8EAADB" w:themeColor="accent1" w:themeTint="99"/>
          <w:sz w:val="23"/>
          <w:szCs w:val="23"/>
        </w:rPr>
        <w:t>- D</w:t>
      </w:r>
      <w:r w:rsidR="003C4746" w:rsidRPr="00874402">
        <w:rPr>
          <w:rFonts w:ascii="Lato" w:hAnsi="Lato"/>
          <w:b/>
          <w:bCs/>
          <w:i/>
          <w:iCs/>
          <w:color w:val="8EAADB" w:themeColor="accent1" w:themeTint="99"/>
          <w:sz w:val="23"/>
          <w:szCs w:val="23"/>
        </w:rPr>
        <w:t>evant le Tribunal Judiciaire</w:t>
      </w:r>
      <w:r w:rsidR="007448AA" w:rsidRPr="00874402">
        <w:rPr>
          <w:rFonts w:ascii="Lato" w:hAnsi="Lato"/>
          <w:b/>
          <w:bCs/>
          <w:i/>
          <w:iCs/>
          <w:color w:val="8EAADB" w:themeColor="accent1" w:themeTint="99"/>
          <w:sz w:val="23"/>
          <w:szCs w:val="23"/>
        </w:rPr>
        <w:t xml:space="preserve"> et la Cour d’Appel</w:t>
      </w:r>
      <w:r w:rsidR="003C4746" w:rsidRPr="00874402">
        <w:rPr>
          <w:rFonts w:ascii="Lato" w:hAnsi="Lato"/>
          <w:b/>
          <w:bCs/>
          <w:i/>
          <w:iCs/>
          <w:color w:val="8EAADB" w:themeColor="accent1" w:themeTint="99"/>
          <w:sz w:val="23"/>
          <w:szCs w:val="23"/>
        </w:rPr>
        <w:t xml:space="preserve">, dans le cadre de la mise en état, en cas de clôture et plaidoirie fixée par le juge, </w:t>
      </w:r>
      <w:r w:rsidR="00215B3B" w:rsidRPr="00874402">
        <w:rPr>
          <w:rFonts w:ascii="Lato" w:hAnsi="Lato"/>
          <w:b/>
          <w:bCs/>
          <w:i/>
          <w:iCs/>
          <w:color w:val="8EAADB" w:themeColor="accent1" w:themeTint="99"/>
          <w:sz w:val="23"/>
          <w:szCs w:val="23"/>
        </w:rPr>
        <w:t>au plus tard à la date de l’audience à laquelle l’instruction sera clôturé</w:t>
      </w:r>
      <w:r w:rsidR="000F0F6F" w:rsidRPr="00874402">
        <w:rPr>
          <w:rFonts w:ascii="Lato" w:hAnsi="Lato"/>
          <w:b/>
          <w:bCs/>
          <w:i/>
          <w:iCs/>
          <w:color w:val="8EAADB" w:themeColor="accent1" w:themeTint="99"/>
          <w:sz w:val="23"/>
          <w:szCs w:val="23"/>
        </w:rPr>
        <w:t>e, les parties déposent</w:t>
      </w:r>
      <w:r w:rsidR="00A665BC" w:rsidRPr="00874402">
        <w:rPr>
          <w:rFonts w:ascii="Lato" w:hAnsi="Lato"/>
          <w:b/>
          <w:bCs/>
          <w:i/>
          <w:iCs/>
          <w:color w:val="8EAADB" w:themeColor="accent1" w:themeTint="99"/>
          <w:sz w:val="23"/>
          <w:szCs w:val="23"/>
        </w:rPr>
        <w:t xml:space="preserve"> </w:t>
      </w:r>
      <w:r w:rsidR="000F0F6F" w:rsidRPr="00874402">
        <w:rPr>
          <w:rStyle w:val="Appelnotedebasdep"/>
          <w:rFonts w:ascii="Lato" w:hAnsi="Lato"/>
          <w:b/>
          <w:bCs/>
          <w:i/>
          <w:iCs/>
          <w:color w:val="8EAADB" w:themeColor="accent1" w:themeTint="99"/>
          <w:sz w:val="23"/>
          <w:szCs w:val="23"/>
        </w:rPr>
        <w:footnoteReference w:id="3"/>
      </w:r>
      <w:r w:rsidR="00215B3B" w:rsidRPr="00874402">
        <w:rPr>
          <w:rFonts w:ascii="Lato" w:hAnsi="Lato"/>
          <w:b/>
          <w:bCs/>
          <w:i/>
          <w:iCs/>
          <w:color w:val="8EAADB" w:themeColor="accent1" w:themeTint="99"/>
          <w:sz w:val="23"/>
          <w:szCs w:val="23"/>
        </w:rPr>
        <w:t> </w:t>
      </w:r>
      <w:r w:rsidR="000F0F6F" w:rsidRPr="00874402">
        <w:rPr>
          <w:rStyle w:val="Appelnotedebasdep"/>
          <w:rFonts w:ascii="Lato" w:hAnsi="Lato"/>
          <w:b/>
          <w:bCs/>
          <w:i/>
          <w:iCs/>
          <w:color w:val="8EAADB" w:themeColor="accent1" w:themeTint="99"/>
          <w:sz w:val="23"/>
          <w:szCs w:val="23"/>
        </w:rPr>
        <w:footnoteReference w:id="4"/>
      </w:r>
      <w:r w:rsidR="00215B3B" w:rsidRPr="00874402">
        <w:rPr>
          <w:rFonts w:ascii="Lato" w:hAnsi="Lato"/>
          <w:b/>
          <w:bCs/>
          <w:i/>
          <w:iCs/>
          <w:color w:val="8EAADB" w:themeColor="accent1" w:themeTint="99"/>
          <w:sz w:val="23"/>
          <w:szCs w:val="23"/>
        </w:rPr>
        <w:t>:</w:t>
      </w:r>
    </w:p>
    <w:p w14:paraId="01E29815" w14:textId="50EF7543" w:rsidR="00681479" w:rsidRPr="00874402" w:rsidRDefault="00215B3B" w:rsidP="00681479">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681479" w:rsidRPr="00874402">
        <w:rPr>
          <w:rStyle w:val="Aucun"/>
          <w:rFonts w:ascii="Lato" w:hAnsi="Lato"/>
          <w:sz w:val="23"/>
          <w:szCs w:val="23"/>
        </w:rPr>
        <w:t xml:space="preserve">un acte d’avocats établi dans les conditions de l’article 1374 du code civil, formalisant les points faisant l’objet d’un accord entre les parties, ainsi que les prétentions respectives des parties relativement aux points sur lesquels elles restent en litige, </w:t>
      </w:r>
      <w:r w:rsidR="00681479" w:rsidRPr="00874402">
        <w:rPr>
          <w:rStyle w:val="Aucun"/>
          <w:rFonts w:ascii="Lato" w:hAnsi="Lato"/>
          <w:sz w:val="23"/>
          <w:szCs w:val="23"/>
          <w:lang w:val="it-IT"/>
        </w:rPr>
        <w:t>accompagn</w:t>
      </w:r>
      <w:r w:rsidR="00BC0E7E">
        <w:rPr>
          <w:rStyle w:val="Aucun"/>
          <w:rFonts w:ascii="Lato" w:hAnsi="Lato"/>
          <w:sz w:val="23"/>
          <w:szCs w:val="23"/>
        </w:rPr>
        <w:t>é</w:t>
      </w:r>
      <w:r w:rsidR="00681479" w:rsidRPr="00874402">
        <w:rPr>
          <w:rStyle w:val="Aucun"/>
          <w:rFonts w:ascii="Lato" w:hAnsi="Lato"/>
          <w:sz w:val="23"/>
          <w:szCs w:val="23"/>
        </w:rPr>
        <w:t xml:space="preserve"> des moyens en fait et en droit sur lesquels chacune de ces prétentions est fondée, avec l’indication pour chaque prétention des pièces invoqué</w:t>
      </w:r>
      <w:r w:rsidR="00681479" w:rsidRPr="00874402">
        <w:rPr>
          <w:rStyle w:val="Aucun"/>
          <w:rFonts w:ascii="Lato" w:hAnsi="Lato"/>
          <w:sz w:val="23"/>
          <w:szCs w:val="23"/>
          <w:lang w:val="pt-PT"/>
        </w:rPr>
        <w:t>es</w:t>
      </w:r>
      <w:r w:rsidR="007448AA" w:rsidRPr="00874402">
        <w:rPr>
          <w:rStyle w:val="Appelnotedebasdep"/>
          <w:rFonts w:ascii="Lato" w:hAnsi="Lato"/>
          <w:sz w:val="23"/>
          <w:szCs w:val="23"/>
          <w:lang w:val="pt-PT"/>
        </w:rPr>
        <w:footnoteReference w:id="5"/>
      </w:r>
      <w:r w:rsidR="00681479" w:rsidRPr="00874402">
        <w:rPr>
          <w:rStyle w:val="Aucun"/>
          <w:rFonts w:ascii="Lato" w:hAnsi="Lato"/>
          <w:sz w:val="23"/>
          <w:szCs w:val="23"/>
          <w:lang w:val="pt-PT"/>
        </w:rPr>
        <w:t xml:space="preserve">. </w:t>
      </w:r>
    </w:p>
    <w:p w14:paraId="6CF111DA" w14:textId="3B9966BB" w:rsidR="00681479" w:rsidRPr="00874402" w:rsidRDefault="00681479" w:rsidP="00681479">
      <w:pPr>
        <w:pStyle w:val="CorpsA"/>
        <w:spacing w:before="120" w:after="120"/>
        <w:rPr>
          <w:rStyle w:val="Aucun"/>
          <w:rFonts w:ascii="Lato" w:hAnsi="Lato"/>
          <w:sz w:val="23"/>
          <w:szCs w:val="23"/>
        </w:rPr>
      </w:pPr>
      <w:r w:rsidRPr="00874402">
        <w:rPr>
          <w:rStyle w:val="Aucun"/>
          <w:rFonts w:ascii="Lato" w:hAnsi="Lato"/>
          <w:sz w:val="23"/>
          <w:szCs w:val="23"/>
        </w:rPr>
        <w:t>- la convention de procédure participative conclue entre les parties, les pièces prévues à l’article 2063 du code civil, le cas échéant, le rapport du technicien, ainsi que les pièces communiquées au cours de la procédure conventionnelle.</w:t>
      </w:r>
    </w:p>
    <w:p w14:paraId="7746C930" w14:textId="44157CBD" w:rsidR="00681479" w:rsidRPr="00874402" w:rsidRDefault="00681479" w:rsidP="00681479">
      <w:pPr>
        <w:pStyle w:val="CorpsA"/>
        <w:spacing w:before="120" w:after="120"/>
        <w:rPr>
          <w:rStyle w:val="Aucun"/>
          <w:rFonts w:ascii="Lato" w:hAnsi="Lato"/>
          <w:sz w:val="23"/>
          <w:szCs w:val="23"/>
        </w:rPr>
      </w:pPr>
      <w:r w:rsidRPr="00874402">
        <w:rPr>
          <w:rStyle w:val="Aucun"/>
          <w:rFonts w:ascii="Lato" w:hAnsi="Lato"/>
          <w:sz w:val="23"/>
          <w:szCs w:val="23"/>
        </w:rPr>
        <w:t xml:space="preserve">- l’accord partiel sur le fond éventuellement conclu dans les conditions de l’article 1555-1 </w:t>
      </w:r>
      <w:r w:rsidR="008767AC">
        <w:rPr>
          <w:rStyle w:val="Aucun"/>
          <w:rFonts w:ascii="Lato" w:hAnsi="Lato"/>
          <w:sz w:val="23"/>
          <w:szCs w:val="23"/>
        </w:rPr>
        <w:t>du CPC.</w:t>
      </w:r>
    </w:p>
    <w:p w14:paraId="58CFB9E8" w14:textId="3A533A2F" w:rsidR="00F66734" w:rsidRDefault="00F66734">
      <w:pPr>
        <w:rPr>
          <w:rFonts w:ascii="Lato" w:eastAsia="Arial Unicode MS" w:hAnsi="Lato" w:cs="Arial Unicode MS"/>
          <w:b/>
          <w:bCs/>
          <w:i/>
          <w:iCs/>
          <w:color w:val="8EAADB" w:themeColor="accent1" w:themeTint="99"/>
          <w:sz w:val="23"/>
          <w:szCs w:val="23"/>
          <w:u w:color="000000"/>
          <w:bdr w:val="nil"/>
          <w:lang w:eastAsia="fr-FR"/>
          <w14:textOutline w14:w="12700" w14:cap="flat" w14:cmpd="sng" w14:algn="ctr">
            <w14:noFill/>
            <w14:prstDash w14:val="solid"/>
            <w14:miter w14:lim="400000"/>
          </w14:textOutline>
        </w:rPr>
      </w:pPr>
      <w:r>
        <w:rPr>
          <w:rFonts w:ascii="Lato" w:hAnsi="Lato"/>
          <w:b/>
          <w:bCs/>
          <w:i/>
          <w:iCs/>
          <w:color w:val="8EAADB" w:themeColor="accent1" w:themeTint="99"/>
          <w:sz w:val="23"/>
          <w:szCs w:val="23"/>
        </w:rPr>
        <w:br w:type="page"/>
      </w:r>
    </w:p>
    <w:p w14:paraId="6A736BF0" w14:textId="1344FDF7" w:rsidR="004126AA" w:rsidRPr="00874402" w:rsidRDefault="004126AA" w:rsidP="004126AA">
      <w:pPr>
        <w:pStyle w:val="CorpsA"/>
        <w:spacing w:before="120" w:after="120"/>
        <w:rPr>
          <w:rStyle w:val="Aucun"/>
          <w:rFonts w:ascii="Lato" w:hAnsi="Lato"/>
          <w:b/>
          <w:bCs/>
          <w:i/>
          <w:iCs/>
          <w:color w:val="8EAADB" w:themeColor="accent1" w:themeTint="99"/>
          <w:sz w:val="23"/>
          <w:szCs w:val="23"/>
        </w:rPr>
      </w:pPr>
      <w:r w:rsidRPr="00874402">
        <w:rPr>
          <w:rFonts w:ascii="Lato" w:hAnsi="Lato"/>
          <w:b/>
          <w:bCs/>
          <w:i/>
          <w:iCs/>
          <w:color w:val="8EAADB" w:themeColor="accent1" w:themeTint="99"/>
          <w:sz w:val="23"/>
          <w:szCs w:val="23"/>
        </w:rPr>
        <w:lastRenderedPageBreak/>
        <w:t>7.</w:t>
      </w:r>
      <w:r w:rsidR="007448AA" w:rsidRPr="00874402">
        <w:rPr>
          <w:rFonts w:ascii="Lato" w:hAnsi="Lato"/>
          <w:b/>
          <w:bCs/>
          <w:i/>
          <w:iCs/>
          <w:color w:val="8EAADB" w:themeColor="accent1" w:themeTint="99"/>
          <w:sz w:val="23"/>
          <w:szCs w:val="23"/>
        </w:rPr>
        <w:t>2</w:t>
      </w:r>
      <w:r w:rsidRPr="00874402">
        <w:rPr>
          <w:rFonts w:ascii="Lato" w:hAnsi="Lato"/>
          <w:b/>
          <w:bCs/>
          <w:i/>
          <w:iCs/>
          <w:color w:val="8EAADB" w:themeColor="accent1" w:themeTint="99"/>
          <w:sz w:val="23"/>
          <w:szCs w:val="23"/>
        </w:rPr>
        <w:t xml:space="preserve"> </w:t>
      </w:r>
      <w:r w:rsidR="003C4746" w:rsidRPr="00874402">
        <w:rPr>
          <w:rFonts w:ascii="Lato" w:hAnsi="Lato"/>
          <w:i/>
          <w:iCs/>
          <w:color w:val="8EAADB" w:themeColor="accent1" w:themeTint="99"/>
          <w:sz w:val="23"/>
          <w:szCs w:val="23"/>
        </w:rPr>
        <w:t xml:space="preserve">- </w:t>
      </w:r>
      <w:r w:rsidR="00B50F9A">
        <w:rPr>
          <w:rFonts w:ascii="Lato" w:hAnsi="Lato"/>
          <w:b/>
          <w:bCs/>
          <w:i/>
          <w:iCs/>
          <w:color w:val="8EAADB" w:themeColor="accent1" w:themeTint="99"/>
          <w:sz w:val="23"/>
          <w:szCs w:val="23"/>
        </w:rPr>
        <w:t>D</w:t>
      </w:r>
      <w:r w:rsidR="003C4746" w:rsidRPr="00874402">
        <w:rPr>
          <w:rFonts w:ascii="Lato" w:hAnsi="Lato"/>
          <w:b/>
          <w:bCs/>
          <w:i/>
          <w:iCs/>
          <w:color w:val="8EAADB" w:themeColor="accent1" w:themeTint="99"/>
          <w:sz w:val="23"/>
          <w:szCs w:val="23"/>
        </w:rPr>
        <w:t>evant le Tribunal Judiciaire</w:t>
      </w:r>
      <w:r w:rsidR="007448AA" w:rsidRPr="00874402">
        <w:rPr>
          <w:rFonts w:ascii="Lato" w:hAnsi="Lato"/>
          <w:b/>
          <w:bCs/>
          <w:i/>
          <w:iCs/>
          <w:color w:val="8EAADB" w:themeColor="accent1" w:themeTint="99"/>
          <w:sz w:val="23"/>
          <w:szCs w:val="23"/>
        </w:rPr>
        <w:t xml:space="preserve"> et la Cour d’Appel</w:t>
      </w:r>
      <w:r w:rsidR="003C4746" w:rsidRPr="00874402">
        <w:rPr>
          <w:rFonts w:ascii="Lato" w:hAnsi="Lato"/>
          <w:b/>
          <w:bCs/>
          <w:i/>
          <w:iCs/>
          <w:color w:val="8EAADB" w:themeColor="accent1" w:themeTint="99"/>
          <w:sz w:val="23"/>
          <w:szCs w:val="23"/>
        </w:rPr>
        <w:t xml:space="preserve">, dans le cadre de la mise en état, en cas de retrait du rôle, </w:t>
      </w:r>
      <w:r w:rsidRPr="00874402">
        <w:rPr>
          <w:rFonts w:ascii="Lato" w:hAnsi="Lato"/>
          <w:b/>
          <w:bCs/>
          <w:i/>
          <w:iCs/>
          <w:color w:val="8EAADB" w:themeColor="accent1" w:themeTint="99"/>
          <w:sz w:val="23"/>
          <w:szCs w:val="23"/>
        </w:rPr>
        <w:t>dépôt d’une demande de rétablissement</w:t>
      </w:r>
      <w:r w:rsidRPr="00874402">
        <w:rPr>
          <w:rStyle w:val="Aucun"/>
          <w:rFonts w:ascii="Lato" w:hAnsi="Lato"/>
          <w:b/>
          <w:bCs/>
          <w:i/>
          <w:iCs/>
          <w:color w:val="8EAADB" w:themeColor="accent1" w:themeTint="99"/>
          <w:sz w:val="23"/>
          <w:szCs w:val="23"/>
        </w:rPr>
        <w:t xml:space="preserve"> accompagnée</w:t>
      </w:r>
      <w:r w:rsidR="00A665BC" w:rsidRPr="00874402">
        <w:rPr>
          <w:rStyle w:val="Aucun"/>
          <w:rFonts w:ascii="Lato" w:hAnsi="Lato"/>
          <w:b/>
          <w:bCs/>
          <w:i/>
          <w:iCs/>
          <w:color w:val="8EAADB" w:themeColor="accent1" w:themeTint="99"/>
          <w:sz w:val="23"/>
          <w:szCs w:val="23"/>
        </w:rPr>
        <w:t xml:space="preserve"> </w:t>
      </w:r>
      <w:r w:rsidR="007448AA" w:rsidRPr="00874402">
        <w:rPr>
          <w:rStyle w:val="Appelnotedebasdep"/>
          <w:rFonts w:ascii="Lato" w:hAnsi="Lato"/>
          <w:b/>
          <w:bCs/>
          <w:i/>
          <w:iCs/>
          <w:color w:val="8EAADB" w:themeColor="accent1" w:themeTint="99"/>
          <w:sz w:val="23"/>
          <w:szCs w:val="23"/>
        </w:rPr>
        <w:footnoteReference w:id="6"/>
      </w:r>
      <w:r w:rsidRPr="00874402">
        <w:rPr>
          <w:rStyle w:val="Aucun"/>
          <w:rFonts w:ascii="Lato" w:hAnsi="Lato"/>
          <w:b/>
          <w:bCs/>
          <w:i/>
          <w:iCs/>
          <w:color w:val="8EAADB" w:themeColor="accent1" w:themeTint="99"/>
          <w:sz w:val="23"/>
          <w:szCs w:val="23"/>
        </w:rPr>
        <w:t>:</w:t>
      </w:r>
    </w:p>
    <w:p w14:paraId="4CFED543" w14:textId="1FECA2CE"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 xml:space="preserve">d’un acte d’avocats établi dans les conditions de l’article 1374 du code civil, formalisant les points faisant l’objet d’un accord entre les parties, ainsi que les prétentions respectives des parties relativement aux points sur lesquels elles restent en litige, </w:t>
      </w:r>
      <w:r w:rsidR="004126AA" w:rsidRPr="00874402">
        <w:rPr>
          <w:rStyle w:val="Aucun"/>
          <w:rFonts w:ascii="Lato" w:hAnsi="Lato"/>
          <w:sz w:val="23"/>
          <w:szCs w:val="23"/>
          <w:lang w:val="it-IT"/>
        </w:rPr>
        <w:t>accompagn</w:t>
      </w:r>
      <w:proofErr w:type="spellStart"/>
      <w:r w:rsidR="004126AA" w:rsidRPr="00874402">
        <w:rPr>
          <w:rStyle w:val="Aucun"/>
          <w:rFonts w:ascii="Lato" w:hAnsi="Lato"/>
          <w:sz w:val="23"/>
          <w:szCs w:val="23"/>
        </w:rPr>
        <w:t>ées</w:t>
      </w:r>
      <w:proofErr w:type="spellEnd"/>
      <w:r w:rsidR="004126AA" w:rsidRPr="00874402">
        <w:rPr>
          <w:rStyle w:val="Aucun"/>
          <w:rFonts w:ascii="Lato" w:hAnsi="Lato"/>
          <w:sz w:val="23"/>
          <w:szCs w:val="23"/>
        </w:rPr>
        <w:t xml:space="preserve"> des moyens en fait et en droit sur lesquels chacune de ces prétention</w:t>
      </w:r>
      <w:r w:rsidRPr="00874402">
        <w:rPr>
          <w:rStyle w:val="Aucun"/>
          <w:rFonts w:ascii="Lato" w:hAnsi="Lato"/>
          <w:sz w:val="23"/>
          <w:szCs w:val="23"/>
        </w:rPr>
        <w:t>s</w:t>
      </w:r>
      <w:r w:rsidR="004126AA" w:rsidRPr="00874402">
        <w:rPr>
          <w:rStyle w:val="Aucun"/>
          <w:rFonts w:ascii="Lato" w:hAnsi="Lato"/>
          <w:sz w:val="23"/>
          <w:szCs w:val="23"/>
        </w:rPr>
        <w:t xml:space="preserve"> est fondée, avec l’indication pour chaque prétention des pièces invoqué</w:t>
      </w:r>
      <w:r w:rsidR="004126AA" w:rsidRPr="00874402">
        <w:rPr>
          <w:rStyle w:val="Aucun"/>
          <w:rFonts w:ascii="Lato" w:hAnsi="Lato"/>
          <w:sz w:val="23"/>
          <w:szCs w:val="23"/>
          <w:lang w:val="pt-PT"/>
        </w:rPr>
        <w:t>es</w:t>
      </w:r>
      <w:r w:rsidR="00A665BC" w:rsidRPr="00874402">
        <w:rPr>
          <w:rStyle w:val="Aucun"/>
          <w:rFonts w:ascii="Lato" w:hAnsi="Lato"/>
          <w:sz w:val="23"/>
          <w:szCs w:val="23"/>
          <w:lang w:val="pt-PT"/>
        </w:rPr>
        <w:t xml:space="preserve"> </w:t>
      </w:r>
      <w:r w:rsidR="007448AA" w:rsidRPr="00874402">
        <w:rPr>
          <w:rStyle w:val="Appelnotedebasdep"/>
          <w:rFonts w:ascii="Lato" w:hAnsi="Lato"/>
          <w:sz w:val="23"/>
          <w:szCs w:val="23"/>
          <w:lang w:val="pt-PT"/>
        </w:rPr>
        <w:footnoteReference w:id="7"/>
      </w:r>
      <w:r w:rsidR="004126AA" w:rsidRPr="00874402">
        <w:rPr>
          <w:rStyle w:val="Aucun"/>
          <w:rFonts w:ascii="Lato" w:hAnsi="Lato"/>
          <w:sz w:val="23"/>
          <w:szCs w:val="23"/>
          <w:lang w:val="pt-PT"/>
        </w:rPr>
        <w:t xml:space="preserve">. </w:t>
      </w:r>
    </w:p>
    <w:p w14:paraId="73070056" w14:textId="3699F506"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de la convention de procédure participative conclue entre les parties, des pièces prévues à l’article 2063 du code civil, le cas échéant, du rapport du technicien, ainsi que des pièces communiquées au cours de la procédure conventionnelle.</w:t>
      </w:r>
    </w:p>
    <w:p w14:paraId="6F9F70ED" w14:textId="57EF1A1E" w:rsidR="004126AA" w:rsidRPr="00874402" w:rsidRDefault="00215B3B" w:rsidP="004126AA">
      <w:pPr>
        <w:pStyle w:val="CorpsA"/>
        <w:spacing w:before="120" w:after="120"/>
        <w:rPr>
          <w:rStyle w:val="Aucun"/>
          <w:rFonts w:ascii="Lato" w:hAnsi="Lato"/>
          <w:sz w:val="23"/>
          <w:szCs w:val="23"/>
        </w:rPr>
      </w:pPr>
      <w:r w:rsidRPr="00874402">
        <w:rPr>
          <w:rStyle w:val="Aucun"/>
          <w:rFonts w:ascii="Lato" w:hAnsi="Lato"/>
          <w:sz w:val="23"/>
          <w:szCs w:val="23"/>
        </w:rPr>
        <w:t xml:space="preserve">- </w:t>
      </w:r>
      <w:r w:rsidR="004126AA" w:rsidRPr="00874402">
        <w:rPr>
          <w:rStyle w:val="Aucun"/>
          <w:rFonts w:ascii="Lato" w:hAnsi="Lato"/>
          <w:sz w:val="23"/>
          <w:szCs w:val="23"/>
        </w:rPr>
        <w:t xml:space="preserve">de l’accord partiel éventuellement conclu dans les conditions de l’article 1555-1 </w:t>
      </w:r>
      <w:proofErr w:type="spellStart"/>
      <w:r w:rsidR="004126AA" w:rsidRPr="00874402">
        <w:rPr>
          <w:rStyle w:val="Aucun"/>
          <w:rFonts w:ascii="Lato" w:hAnsi="Lato"/>
          <w:sz w:val="23"/>
          <w:szCs w:val="23"/>
        </w:rPr>
        <w:t>cpc</w:t>
      </w:r>
      <w:proofErr w:type="spellEnd"/>
    </w:p>
    <w:p w14:paraId="4508ED99" w14:textId="0C6ED199" w:rsidR="003C4746" w:rsidRPr="00874402" w:rsidRDefault="003C4746" w:rsidP="005235AB">
      <w:pPr>
        <w:pStyle w:val="Default"/>
        <w:rPr>
          <w:rFonts w:ascii="Lato" w:hAnsi="Lato"/>
          <w:b/>
          <w:bCs/>
          <w:color w:val="auto"/>
          <w:sz w:val="23"/>
          <w:szCs w:val="23"/>
        </w:rPr>
      </w:pPr>
    </w:p>
    <w:p w14:paraId="6E71FB0C" w14:textId="2BDFCBC2" w:rsidR="004126AA" w:rsidRPr="00874402" w:rsidRDefault="007F1849" w:rsidP="00DF0716">
      <w:pPr>
        <w:pStyle w:val="Default"/>
        <w:jc w:val="both"/>
        <w:rPr>
          <w:rFonts w:ascii="Lato" w:hAnsi="Lato"/>
          <w:b/>
          <w:bCs/>
          <w:i/>
          <w:iCs/>
          <w:color w:val="8EAADB" w:themeColor="accent1" w:themeTint="99"/>
          <w:sz w:val="23"/>
          <w:szCs w:val="23"/>
        </w:rPr>
      </w:pPr>
      <w:r w:rsidRPr="00874402">
        <w:rPr>
          <w:rFonts w:ascii="Lato" w:hAnsi="Lato"/>
          <w:b/>
          <w:bCs/>
          <w:i/>
          <w:iCs/>
          <w:color w:val="8EAADB" w:themeColor="accent1" w:themeTint="99"/>
          <w:sz w:val="23"/>
          <w:szCs w:val="23"/>
        </w:rPr>
        <w:t>7.</w:t>
      </w:r>
      <w:r w:rsidR="0072670C" w:rsidRPr="00874402">
        <w:rPr>
          <w:rFonts w:ascii="Lato" w:hAnsi="Lato"/>
          <w:b/>
          <w:bCs/>
          <w:i/>
          <w:iCs/>
          <w:color w:val="8EAADB" w:themeColor="accent1" w:themeTint="99"/>
          <w:sz w:val="23"/>
          <w:szCs w:val="23"/>
        </w:rPr>
        <w:t>3</w:t>
      </w:r>
      <w:r w:rsidRPr="00874402">
        <w:rPr>
          <w:rFonts w:ascii="Lato" w:hAnsi="Lato"/>
          <w:b/>
          <w:bCs/>
          <w:i/>
          <w:iCs/>
          <w:color w:val="8EAADB" w:themeColor="accent1" w:themeTint="99"/>
          <w:sz w:val="23"/>
          <w:szCs w:val="23"/>
        </w:rPr>
        <w:t xml:space="preserve"> </w:t>
      </w:r>
      <w:r w:rsidR="00DF0716">
        <w:rPr>
          <w:rFonts w:ascii="Lato" w:hAnsi="Lato"/>
          <w:b/>
          <w:bCs/>
          <w:i/>
          <w:iCs/>
          <w:color w:val="8EAADB" w:themeColor="accent1" w:themeTint="99"/>
          <w:sz w:val="23"/>
          <w:szCs w:val="23"/>
        </w:rPr>
        <w:t>- D</w:t>
      </w:r>
      <w:r w:rsidR="003C4746" w:rsidRPr="00874402">
        <w:rPr>
          <w:rFonts w:ascii="Lato" w:hAnsi="Lato"/>
          <w:b/>
          <w:bCs/>
          <w:i/>
          <w:iCs/>
          <w:color w:val="8EAADB" w:themeColor="accent1" w:themeTint="99"/>
          <w:sz w:val="23"/>
          <w:szCs w:val="23"/>
        </w:rPr>
        <w:t xml:space="preserve">evant toute juridiction de l’ordre judiciaire, en cas de procédure orale, </w:t>
      </w:r>
      <w:r w:rsidR="004126AA" w:rsidRPr="00874402">
        <w:rPr>
          <w:rFonts w:ascii="Lato" w:hAnsi="Lato"/>
          <w:b/>
          <w:bCs/>
          <w:i/>
          <w:iCs/>
          <w:color w:val="8EAADB" w:themeColor="accent1" w:themeTint="99"/>
          <w:sz w:val="23"/>
          <w:szCs w:val="23"/>
        </w:rPr>
        <w:t>dépôt de tout accord article 1555-1 CPC à l’audience, pour homologation, éventuel dépôt à l’audience de conclusions, dépôt des pièces à l’audience et plaidoirie</w:t>
      </w:r>
      <w:r w:rsidR="00A665BC" w:rsidRPr="00874402">
        <w:rPr>
          <w:rFonts w:ascii="Lato" w:hAnsi="Lato"/>
          <w:b/>
          <w:bCs/>
          <w:i/>
          <w:iCs/>
          <w:color w:val="8EAADB" w:themeColor="accent1" w:themeTint="99"/>
          <w:sz w:val="23"/>
          <w:szCs w:val="23"/>
        </w:rPr>
        <w:t xml:space="preserve"> </w:t>
      </w:r>
      <w:r w:rsidR="001C41B8" w:rsidRPr="00874402">
        <w:rPr>
          <w:rStyle w:val="Appelnotedebasdep"/>
          <w:rFonts w:ascii="Lato" w:hAnsi="Lato"/>
          <w:b/>
          <w:bCs/>
          <w:i/>
          <w:iCs/>
          <w:color w:val="8EAADB" w:themeColor="accent1" w:themeTint="99"/>
          <w:sz w:val="23"/>
          <w:szCs w:val="23"/>
        </w:rPr>
        <w:footnoteReference w:id="8"/>
      </w:r>
      <w:r w:rsidR="004126AA" w:rsidRPr="00874402">
        <w:rPr>
          <w:rFonts w:ascii="Lato" w:hAnsi="Lato"/>
          <w:b/>
          <w:bCs/>
          <w:i/>
          <w:iCs/>
          <w:color w:val="8EAADB" w:themeColor="accent1" w:themeTint="99"/>
          <w:sz w:val="23"/>
          <w:szCs w:val="23"/>
        </w:rPr>
        <w:t xml:space="preserve">. </w:t>
      </w:r>
    </w:p>
    <w:p w14:paraId="7436A542" w14:textId="77777777" w:rsidR="005235AB" w:rsidRPr="00874402" w:rsidRDefault="005235AB" w:rsidP="005235AB">
      <w:pPr>
        <w:pStyle w:val="Default"/>
        <w:rPr>
          <w:rFonts w:ascii="Lato" w:hAnsi="Lato"/>
          <w:color w:val="auto"/>
          <w:sz w:val="23"/>
          <w:szCs w:val="23"/>
        </w:rPr>
      </w:pPr>
    </w:p>
    <w:p w14:paraId="2E4BACC7" w14:textId="77777777" w:rsidR="005235AB" w:rsidRPr="00874402" w:rsidRDefault="005235AB" w:rsidP="005235AB">
      <w:pPr>
        <w:pStyle w:val="Default"/>
        <w:rPr>
          <w:rFonts w:ascii="Lato" w:hAnsi="Lato"/>
          <w:color w:val="auto"/>
          <w:sz w:val="23"/>
          <w:szCs w:val="23"/>
        </w:rPr>
      </w:pPr>
    </w:p>
    <w:sectPr w:rsidR="005235AB" w:rsidRPr="00874402" w:rsidSect="00F81614">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704F" w14:textId="77777777" w:rsidR="0054742A" w:rsidRDefault="0054742A" w:rsidP="00215B3B">
      <w:pPr>
        <w:spacing w:after="0" w:line="240" w:lineRule="auto"/>
      </w:pPr>
      <w:r>
        <w:separator/>
      </w:r>
    </w:p>
  </w:endnote>
  <w:endnote w:type="continuationSeparator" w:id="0">
    <w:p w14:paraId="12A10380" w14:textId="77777777" w:rsidR="0054742A" w:rsidRDefault="0054742A" w:rsidP="0021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B3ED" w14:textId="77777777" w:rsidR="0054742A" w:rsidRDefault="0054742A" w:rsidP="00215B3B">
      <w:pPr>
        <w:spacing w:after="0" w:line="240" w:lineRule="auto"/>
      </w:pPr>
      <w:r>
        <w:separator/>
      </w:r>
    </w:p>
  </w:footnote>
  <w:footnote w:type="continuationSeparator" w:id="0">
    <w:p w14:paraId="24C9F695" w14:textId="77777777" w:rsidR="0054742A" w:rsidRDefault="0054742A" w:rsidP="00215B3B">
      <w:pPr>
        <w:spacing w:after="0" w:line="240" w:lineRule="auto"/>
      </w:pPr>
      <w:r>
        <w:continuationSeparator/>
      </w:r>
    </w:p>
  </w:footnote>
  <w:footnote w:id="1">
    <w:p w14:paraId="568F2376" w14:textId="2464D069" w:rsidR="00681479" w:rsidRPr="0091230A" w:rsidRDefault="00681479" w:rsidP="00BC0E7E">
      <w:pPr>
        <w:pStyle w:val="Notedebasdepage"/>
        <w:jc w:val="both"/>
        <w:rPr>
          <w:rFonts w:ascii="Lato" w:hAnsi="Lato"/>
        </w:rPr>
      </w:pPr>
      <w:r w:rsidRPr="0091230A">
        <w:rPr>
          <w:rStyle w:val="Appelnotedebasdep"/>
          <w:rFonts w:ascii="Lato" w:hAnsi="Lato"/>
        </w:rPr>
        <w:footnoteRef/>
      </w:r>
      <w:r w:rsidRPr="0091230A">
        <w:rPr>
          <w:rFonts w:ascii="Lato" w:hAnsi="Lato"/>
        </w:rPr>
        <w:t xml:space="preserve"> NB : il peut être plus rapide et efficace d’organiser une réunion commune parties – avocats pour évoquer tous les éléments nécessaires à la rédaction de la convention (demandes de chacun, pièces nécessaires, délais pour les obtenir, nécessité éventuelle d’une expertise, calendrier de procédure, terme…)</w:t>
      </w:r>
    </w:p>
  </w:footnote>
  <w:footnote w:id="2">
    <w:p w14:paraId="5FA431AC" w14:textId="0CB91363" w:rsidR="00681479" w:rsidRPr="0091230A" w:rsidRDefault="00681479" w:rsidP="00BC0E7E">
      <w:pPr>
        <w:pStyle w:val="Notedebasdepage"/>
        <w:jc w:val="both"/>
        <w:rPr>
          <w:rFonts w:ascii="Lato" w:hAnsi="Lato"/>
        </w:rPr>
      </w:pPr>
      <w:r w:rsidRPr="0091230A">
        <w:rPr>
          <w:rStyle w:val="Appelnotedebasdep"/>
          <w:rFonts w:ascii="Lato" w:hAnsi="Lato"/>
        </w:rPr>
        <w:footnoteRef/>
      </w:r>
      <w:r w:rsidRPr="0091230A">
        <w:rPr>
          <w:rFonts w:ascii="Lato" w:hAnsi="Lato"/>
        </w:rPr>
        <w:t xml:space="preserve"> NB : il est possible d’inclure une recherche d’accord sur le fond, avec un calendrier amiable et une clause de confidentialité relative aux négociations</w:t>
      </w:r>
    </w:p>
  </w:footnote>
  <w:footnote w:id="3">
    <w:p w14:paraId="65BFA134" w14:textId="3D1F4A4A" w:rsidR="000F0F6F" w:rsidRPr="0091230A" w:rsidRDefault="000F0F6F" w:rsidP="000F0F6F">
      <w:pPr>
        <w:pStyle w:val="CorpsA"/>
        <w:spacing w:before="120" w:after="120"/>
        <w:rPr>
          <w:rFonts w:ascii="Lato" w:hAnsi="Lato"/>
        </w:rPr>
      </w:pPr>
      <w:r w:rsidRPr="0091230A">
        <w:rPr>
          <w:rStyle w:val="Appelnotedebasdep"/>
          <w:rFonts w:ascii="Lato" w:hAnsi="Lato"/>
        </w:rPr>
        <w:footnoteRef/>
      </w:r>
      <w:r w:rsidRPr="0091230A">
        <w:rPr>
          <w:rFonts w:ascii="Lato" w:hAnsi="Lato"/>
        </w:rPr>
        <w:t xml:space="preserve"> </w:t>
      </w:r>
      <w:r w:rsidRPr="0091230A">
        <w:rPr>
          <w:rFonts w:ascii="Lato" w:hAnsi="Lato"/>
          <w:sz w:val="20"/>
          <w:szCs w:val="20"/>
        </w:rPr>
        <w:t>NB : en cas d’accord total sur le fond, l</w:t>
      </w:r>
      <w:r w:rsidRPr="0091230A">
        <w:rPr>
          <w:rStyle w:val="Aucun"/>
          <w:rFonts w:ascii="Lato" w:hAnsi="Lato"/>
          <w:sz w:val="20"/>
          <w:szCs w:val="20"/>
        </w:rPr>
        <w:t>a partie la plus diligente</w:t>
      </w:r>
      <w:r w:rsidR="000271C9">
        <w:rPr>
          <w:rStyle w:val="Aucun"/>
          <w:rFonts w:ascii="Lato" w:hAnsi="Lato"/>
          <w:sz w:val="20"/>
          <w:szCs w:val="20"/>
        </w:rPr>
        <w:t xml:space="preserve">, ou l’ensemble des parties, </w:t>
      </w:r>
      <w:r w:rsidRPr="0091230A">
        <w:rPr>
          <w:rStyle w:val="Aucun"/>
          <w:rFonts w:ascii="Lato" w:hAnsi="Lato"/>
          <w:sz w:val="20"/>
          <w:szCs w:val="20"/>
        </w:rPr>
        <w:t>présente au juge une demande tendant à l’homologation de l’accord que les parties ont établi conformément aux dispositions de l’article 1555-1 CPC</w:t>
      </w:r>
    </w:p>
  </w:footnote>
  <w:footnote w:id="4">
    <w:p w14:paraId="58340098" w14:textId="04A5F69B" w:rsidR="007448AA" w:rsidRPr="0091230A" w:rsidRDefault="000F0F6F" w:rsidP="00DF0716">
      <w:pPr>
        <w:pStyle w:val="Notedebasdepage"/>
        <w:jc w:val="both"/>
        <w:rPr>
          <w:rFonts w:ascii="Lato" w:hAnsi="Lato" w:cs="Times New Roman"/>
        </w:rPr>
      </w:pPr>
      <w:r w:rsidRPr="0091230A">
        <w:rPr>
          <w:rStyle w:val="Appelnotedebasdep"/>
          <w:rFonts w:ascii="Lato" w:hAnsi="Lato"/>
        </w:rPr>
        <w:footnoteRef/>
      </w:r>
      <w:r w:rsidRPr="0091230A">
        <w:rPr>
          <w:rFonts w:ascii="Lato" w:hAnsi="Lato"/>
        </w:rPr>
        <w:t xml:space="preserve"> </w:t>
      </w:r>
      <w:r w:rsidRPr="0091230A">
        <w:rPr>
          <w:rFonts w:ascii="Lato" w:hAnsi="Lato" w:cs="Times New Roman"/>
        </w:rPr>
        <w:t>NB : si la mise en état du dossier a échoué, l’affaire est renvoyée en mise en état judiciaire, à la demande de la partie la plus diligente</w:t>
      </w:r>
      <w:r w:rsidR="007448AA" w:rsidRPr="0091230A">
        <w:rPr>
          <w:rFonts w:ascii="Lato" w:hAnsi="Lato" w:cs="Times New Roman"/>
        </w:rPr>
        <w:t>. Attention devant la Cour d’Appel de respecter les délais MAGENDIE s’ils n’avaient pas couru avant conclusion de la convention de procédure participative</w:t>
      </w:r>
    </w:p>
  </w:footnote>
  <w:footnote w:id="5">
    <w:p w14:paraId="04AE157D" w14:textId="6F656792" w:rsidR="007448AA" w:rsidRPr="0091230A" w:rsidRDefault="007448AA" w:rsidP="00DF0716">
      <w:pPr>
        <w:pStyle w:val="Notedebasdepage"/>
        <w:jc w:val="both"/>
        <w:rPr>
          <w:rFonts w:ascii="Lato" w:hAnsi="Lato" w:cs="Times New Roman"/>
        </w:rPr>
      </w:pPr>
      <w:r w:rsidRPr="0091230A">
        <w:rPr>
          <w:rStyle w:val="Appelnotedebasdep"/>
          <w:rFonts w:ascii="Lato" w:hAnsi="Lato"/>
        </w:rPr>
        <w:footnoteRef/>
      </w:r>
      <w:r w:rsidRPr="0091230A">
        <w:rPr>
          <w:rFonts w:ascii="Lato" w:hAnsi="Lato"/>
        </w:rPr>
        <w:t xml:space="preserve"> </w:t>
      </w:r>
      <w:r w:rsidRPr="0091230A">
        <w:rPr>
          <w:rStyle w:val="Aucun"/>
          <w:rFonts w:ascii="Lato" w:hAnsi="Lato" w:cs="Times New Roman"/>
          <w:lang w:val="pt-PT"/>
        </w:rPr>
        <w:t>Devant la Cour, l’acte d’avocats précise qu’il vaut conclusions récapitulatives et respecte la forme du décret MAGENDIE.</w:t>
      </w:r>
    </w:p>
  </w:footnote>
  <w:footnote w:id="6">
    <w:p w14:paraId="1EB011E5" w14:textId="7F4C4DAD" w:rsidR="007448AA" w:rsidRDefault="007448AA">
      <w:pPr>
        <w:pStyle w:val="Notedebasdepage"/>
      </w:pPr>
      <w:r>
        <w:rPr>
          <w:rStyle w:val="Appelnotedebasdep"/>
        </w:rPr>
        <w:footnoteRef/>
      </w:r>
      <w:r>
        <w:t xml:space="preserve"> </w:t>
      </w:r>
      <w:r w:rsidRPr="00DF0716">
        <w:t>Voir notes 3 et 4</w:t>
      </w:r>
    </w:p>
  </w:footnote>
  <w:footnote w:id="7">
    <w:p w14:paraId="61EEA64E" w14:textId="6DF255E6" w:rsidR="007448AA" w:rsidRPr="001C41B8" w:rsidRDefault="007448AA">
      <w:pPr>
        <w:pStyle w:val="Notedebasdepage"/>
        <w:rPr>
          <w:rFonts w:ascii="Times New Roman" w:hAnsi="Times New Roman" w:cs="Times New Roman"/>
        </w:rPr>
      </w:pPr>
      <w:r w:rsidRPr="001C41B8">
        <w:rPr>
          <w:rStyle w:val="Appelnotedebasdep"/>
          <w:rFonts w:ascii="Times New Roman" w:hAnsi="Times New Roman" w:cs="Times New Roman"/>
        </w:rPr>
        <w:footnoteRef/>
      </w:r>
      <w:r w:rsidRPr="001C41B8">
        <w:rPr>
          <w:rFonts w:ascii="Times New Roman" w:hAnsi="Times New Roman" w:cs="Times New Roman"/>
        </w:rPr>
        <w:t xml:space="preserve"> </w:t>
      </w:r>
      <w:r w:rsidRPr="00DF0716">
        <w:t xml:space="preserve">Voir note </w:t>
      </w:r>
      <w:r w:rsidR="001C41B8" w:rsidRPr="00DF0716">
        <w:t>5</w:t>
      </w:r>
    </w:p>
  </w:footnote>
  <w:footnote w:id="8">
    <w:p w14:paraId="400EEB19" w14:textId="55F1A38D" w:rsidR="001C41B8" w:rsidRDefault="001C41B8" w:rsidP="00DF0716">
      <w:pPr>
        <w:pStyle w:val="Notedebasdepage"/>
        <w:jc w:val="both"/>
      </w:pPr>
      <w:r>
        <w:rPr>
          <w:rStyle w:val="Appelnotedebasdep"/>
        </w:rPr>
        <w:footnoteRef/>
      </w:r>
      <w:r>
        <w:t xml:space="preserve"> Si le terme de la convention de procédure participative est postérieur à la date d’audience pour laquelle il a été délivré assignation, les parties solliciteront à leur choix un retrait du rôle ou une date de plaidoirie postérieure au terme de la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9027" w14:textId="1035A44B" w:rsidR="00022AFD" w:rsidRDefault="00BC38DD" w:rsidP="00681479">
    <w:pPr>
      <w:pStyle w:val="En-tte"/>
      <w:jc w:val="right"/>
    </w:pPr>
    <w:r>
      <w:rPr>
        <w:noProof/>
        <w:lang w:eastAsia="fr-FR"/>
      </w:rPr>
      <w:drawing>
        <wp:anchor distT="0" distB="0" distL="114300" distR="114300" simplePos="0" relativeHeight="251658240" behindDoc="1" locked="0" layoutInCell="1" allowOverlap="1" wp14:anchorId="58331D10" wp14:editId="572D337A">
          <wp:simplePos x="0" y="0"/>
          <wp:positionH relativeFrom="margin">
            <wp:posOffset>-635</wp:posOffset>
          </wp:positionH>
          <wp:positionV relativeFrom="paragraph">
            <wp:posOffset>33655</wp:posOffset>
          </wp:positionV>
          <wp:extent cx="1619885" cy="676275"/>
          <wp:effectExtent l="0" t="0" r="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676275"/>
                  </a:xfrm>
                  <a:prstGeom prst="rect">
                    <a:avLst/>
                  </a:prstGeom>
                  <a:noFill/>
                </pic:spPr>
              </pic:pic>
            </a:graphicData>
          </a:graphic>
          <wp14:sizeRelH relativeFrom="page">
            <wp14:pctWidth>0</wp14:pctWidth>
          </wp14:sizeRelH>
          <wp14:sizeRelV relativeFrom="page">
            <wp14:pctHeight>0</wp14:pctHeight>
          </wp14:sizeRelV>
        </wp:anchor>
      </w:drawing>
    </w:r>
  </w:p>
  <w:p w14:paraId="618A4864" w14:textId="7ED54B15" w:rsidR="00681479" w:rsidRDefault="00681479" w:rsidP="00681479">
    <w:pPr>
      <w:pStyle w:val="En-tte"/>
      <w:jc w:val="right"/>
    </w:pPr>
    <w:r>
      <w:t xml:space="preserve">Version </w:t>
    </w:r>
    <w:r w:rsidR="006E6415">
      <w:t>20</w:t>
    </w:r>
    <w:r w:rsidR="00C36E2C">
      <w:t xml:space="preserve"> </w:t>
    </w:r>
    <w:r w:rsidR="006E6415">
      <w:t>décembre</w:t>
    </w:r>
    <w:r>
      <w:t xml:space="preserve"> 202</w:t>
    </w:r>
    <w:r w:rsidR="006E6415">
      <w:t>1</w:t>
    </w:r>
  </w:p>
  <w:p w14:paraId="32AF07BB" w14:textId="1F55C8BB" w:rsidR="00BC38DD" w:rsidRDefault="00BC38DD" w:rsidP="00681479">
    <w:pPr>
      <w:pStyle w:val="En-tte"/>
      <w:jc w:val="right"/>
    </w:pPr>
  </w:p>
  <w:p w14:paraId="39028154" w14:textId="124678FF" w:rsidR="00BC38DD" w:rsidRDefault="00BC38DD" w:rsidP="00681479">
    <w:pPr>
      <w:pStyle w:val="En-tte"/>
      <w:jc w:val="right"/>
    </w:pPr>
  </w:p>
  <w:p w14:paraId="349C8DBA" w14:textId="77777777" w:rsidR="00D54DC6" w:rsidRDefault="00D54DC6" w:rsidP="00681479">
    <w:pPr>
      <w:pStyle w:val="En-tte"/>
      <w:jc w:val="right"/>
    </w:pPr>
  </w:p>
  <w:p w14:paraId="1620C2BE" w14:textId="01DBA109" w:rsidR="00BC38DD" w:rsidRDefault="00BC38DD" w:rsidP="00681479">
    <w:pPr>
      <w:pStyle w:val="En-tte"/>
      <w:jc w:val="right"/>
    </w:pPr>
  </w:p>
  <w:p w14:paraId="61BD779C" w14:textId="77777777" w:rsidR="00BC38DD" w:rsidRDefault="00BC38DD" w:rsidP="00681479">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655F0"/>
    <w:multiLevelType w:val="hybridMultilevel"/>
    <w:tmpl w:val="A8A09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AB"/>
    <w:rsid w:val="00022AFD"/>
    <w:rsid w:val="000271C9"/>
    <w:rsid w:val="00052E25"/>
    <w:rsid w:val="0005351A"/>
    <w:rsid w:val="00070FD4"/>
    <w:rsid w:val="0009602A"/>
    <w:rsid w:val="000F0F6F"/>
    <w:rsid w:val="001658CA"/>
    <w:rsid w:val="001C41B8"/>
    <w:rsid w:val="00215B3B"/>
    <w:rsid w:val="00246721"/>
    <w:rsid w:val="0039081D"/>
    <w:rsid w:val="003C4746"/>
    <w:rsid w:val="003E6B52"/>
    <w:rsid w:val="004126AA"/>
    <w:rsid w:val="004A2C40"/>
    <w:rsid w:val="004D4C3D"/>
    <w:rsid w:val="005235AB"/>
    <w:rsid w:val="0054742A"/>
    <w:rsid w:val="005811BF"/>
    <w:rsid w:val="006079BC"/>
    <w:rsid w:val="00681479"/>
    <w:rsid w:val="006D030A"/>
    <w:rsid w:val="006E5E9C"/>
    <w:rsid w:val="006E6415"/>
    <w:rsid w:val="0072670C"/>
    <w:rsid w:val="007432C3"/>
    <w:rsid w:val="007448AA"/>
    <w:rsid w:val="007A46CA"/>
    <w:rsid w:val="007F1849"/>
    <w:rsid w:val="00874402"/>
    <w:rsid w:val="008767AC"/>
    <w:rsid w:val="0091230A"/>
    <w:rsid w:val="009F5144"/>
    <w:rsid w:val="00A665BC"/>
    <w:rsid w:val="00B06D91"/>
    <w:rsid w:val="00B47A00"/>
    <w:rsid w:val="00B50F9A"/>
    <w:rsid w:val="00BC0E7E"/>
    <w:rsid w:val="00BC38DD"/>
    <w:rsid w:val="00C36E2C"/>
    <w:rsid w:val="00D54DC6"/>
    <w:rsid w:val="00D83E7F"/>
    <w:rsid w:val="00DF0716"/>
    <w:rsid w:val="00E63041"/>
    <w:rsid w:val="00ED1E93"/>
    <w:rsid w:val="00F66734"/>
    <w:rsid w:val="00F81614"/>
    <w:rsid w:val="00FC7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409D"/>
  <w15:chartTrackingRefBased/>
  <w15:docId w15:val="{75ABB7FF-6D4A-4C2C-8A11-4EBFD164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35AB"/>
    <w:pPr>
      <w:autoSpaceDE w:val="0"/>
      <w:autoSpaceDN w:val="0"/>
      <w:adjustRightInd w:val="0"/>
      <w:spacing w:after="0" w:line="240" w:lineRule="auto"/>
    </w:pPr>
    <w:rPr>
      <w:rFonts w:ascii="Calibri" w:hAnsi="Calibri" w:cs="Calibri"/>
      <w:color w:val="000000"/>
      <w:sz w:val="24"/>
      <w:szCs w:val="24"/>
    </w:rPr>
  </w:style>
  <w:style w:type="character" w:customStyle="1" w:styleId="Aucun">
    <w:name w:val="Aucun"/>
    <w:rsid w:val="005235AB"/>
  </w:style>
  <w:style w:type="paragraph" w:customStyle="1" w:styleId="CorpsA">
    <w:name w:val="Corps A"/>
    <w:rsid w:val="004126A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paragraph" w:styleId="Notedebasdepage">
    <w:name w:val="footnote text"/>
    <w:basedOn w:val="Normal"/>
    <w:link w:val="NotedebasdepageCar"/>
    <w:uiPriority w:val="99"/>
    <w:semiHidden/>
    <w:unhideWhenUsed/>
    <w:rsid w:val="00215B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B3B"/>
    <w:rPr>
      <w:sz w:val="20"/>
      <w:szCs w:val="20"/>
    </w:rPr>
  </w:style>
  <w:style w:type="character" w:styleId="Appelnotedebasdep">
    <w:name w:val="footnote reference"/>
    <w:basedOn w:val="Policepardfaut"/>
    <w:uiPriority w:val="99"/>
    <w:semiHidden/>
    <w:unhideWhenUsed/>
    <w:rsid w:val="00215B3B"/>
    <w:rPr>
      <w:vertAlign w:val="superscript"/>
    </w:rPr>
  </w:style>
  <w:style w:type="paragraph" w:styleId="En-tte">
    <w:name w:val="header"/>
    <w:basedOn w:val="Normal"/>
    <w:link w:val="En-tteCar"/>
    <w:uiPriority w:val="99"/>
    <w:unhideWhenUsed/>
    <w:rsid w:val="00681479"/>
    <w:pPr>
      <w:tabs>
        <w:tab w:val="center" w:pos="4536"/>
        <w:tab w:val="right" w:pos="9072"/>
      </w:tabs>
      <w:spacing w:after="0" w:line="240" w:lineRule="auto"/>
    </w:pPr>
  </w:style>
  <w:style w:type="character" w:customStyle="1" w:styleId="En-tteCar">
    <w:name w:val="En-tête Car"/>
    <w:basedOn w:val="Policepardfaut"/>
    <w:link w:val="En-tte"/>
    <w:uiPriority w:val="99"/>
    <w:rsid w:val="00681479"/>
  </w:style>
  <w:style w:type="paragraph" w:styleId="Pieddepage">
    <w:name w:val="footer"/>
    <w:basedOn w:val="Normal"/>
    <w:link w:val="PieddepageCar"/>
    <w:uiPriority w:val="99"/>
    <w:unhideWhenUsed/>
    <w:rsid w:val="00681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6C0F-A1CD-4650-ADDA-0890A00F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Moutardier</dc:creator>
  <cp:keywords/>
  <dc:description/>
  <cp:lastModifiedBy>Sarah El Marnissy</cp:lastModifiedBy>
  <cp:revision>3</cp:revision>
  <dcterms:created xsi:type="dcterms:W3CDTF">2022-01-16T10:59:00Z</dcterms:created>
  <dcterms:modified xsi:type="dcterms:W3CDTF">2022-01-28T14:49:00Z</dcterms:modified>
</cp:coreProperties>
</file>