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E8CE4" w14:textId="77777777" w:rsidR="00EC20EA" w:rsidRPr="002302A2" w:rsidRDefault="00EC20EA">
      <w:pPr>
        <w:pStyle w:val="Pardfaut"/>
        <w:spacing w:before="0"/>
        <w:ind w:right="140"/>
        <w:jc w:val="center"/>
        <w:rPr>
          <w:rStyle w:val="Aucun"/>
          <w:rFonts w:ascii="Arial" w:hAnsi="Arial" w:cs="Arial"/>
          <w:b/>
          <w:bCs/>
          <w:color w:val="auto"/>
          <w:sz w:val="22"/>
          <w:szCs w:val="22"/>
        </w:rPr>
      </w:pPr>
    </w:p>
    <w:p w14:paraId="3CF7FE3A" w14:textId="77777777" w:rsidR="00EC20EA" w:rsidRPr="002302A2" w:rsidRDefault="00EC20EA">
      <w:pPr>
        <w:pStyle w:val="Pardfaut"/>
        <w:spacing w:before="0"/>
        <w:ind w:right="140"/>
        <w:jc w:val="center"/>
        <w:rPr>
          <w:rStyle w:val="Aucun"/>
          <w:rFonts w:ascii="Arial" w:hAnsi="Arial" w:cs="Arial"/>
          <w:b/>
          <w:bCs/>
          <w:color w:val="auto"/>
          <w:sz w:val="22"/>
          <w:szCs w:val="22"/>
        </w:rPr>
      </w:pPr>
    </w:p>
    <w:p w14:paraId="18B60F1C" w14:textId="77777777" w:rsidR="00EC20EA" w:rsidRPr="002302A2" w:rsidRDefault="00EC20EA">
      <w:pPr>
        <w:pStyle w:val="Pardfaut"/>
        <w:spacing w:before="0"/>
        <w:ind w:right="140"/>
        <w:jc w:val="center"/>
        <w:rPr>
          <w:rStyle w:val="Aucun"/>
          <w:rFonts w:ascii="Arial" w:hAnsi="Arial" w:cs="Arial"/>
          <w:b/>
          <w:bCs/>
          <w:color w:val="auto"/>
          <w:sz w:val="22"/>
          <w:szCs w:val="22"/>
        </w:rPr>
      </w:pPr>
    </w:p>
    <w:p w14:paraId="72A2119B" w14:textId="77777777" w:rsidR="00EC20EA" w:rsidRPr="002302A2" w:rsidRDefault="00EC20EA">
      <w:pPr>
        <w:pStyle w:val="Pardfaut"/>
        <w:spacing w:before="0"/>
        <w:ind w:right="140"/>
        <w:jc w:val="center"/>
        <w:rPr>
          <w:rStyle w:val="Aucun"/>
          <w:rFonts w:ascii="Arial" w:hAnsi="Arial" w:cs="Arial"/>
          <w:b/>
          <w:bCs/>
          <w:color w:val="auto"/>
          <w:sz w:val="22"/>
          <w:szCs w:val="22"/>
        </w:rPr>
      </w:pPr>
    </w:p>
    <w:p w14:paraId="2C13BF4E" w14:textId="1B6E543B" w:rsidR="00B3101E" w:rsidRPr="002302A2" w:rsidRDefault="007C3565">
      <w:pPr>
        <w:pStyle w:val="Pardfaut"/>
        <w:spacing w:before="0"/>
        <w:ind w:right="140"/>
        <w:jc w:val="center"/>
        <w:rPr>
          <w:rStyle w:val="Aucun"/>
          <w:rFonts w:ascii="Arial" w:eastAsia="Helvetica" w:hAnsi="Arial" w:cs="Arial"/>
          <w:b/>
          <w:bCs/>
          <w:color w:val="auto"/>
          <w:sz w:val="22"/>
          <w:szCs w:val="22"/>
        </w:rPr>
      </w:pPr>
      <w:r w:rsidRPr="002302A2">
        <w:rPr>
          <w:rStyle w:val="Aucun"/>
          <w:rFonts w:ascii="Arial" w:hAnsi="Arial" w:cs="Arial"/>
          <w:b/>
          <w:bCs/>
          <w:color w:val="auto"/>
          <w:sz w:val="22"/>
          <w:szCs w:val="22"/>
        </w:rPr>
        <w:t>RESOLUTION DU CONSEIL DE L'ORDRE DU BARREAU DES HAUTS-DE-SEINE</w:t>
      </w:r>
    </w:p>
    <w:p w14:paraId="0C9EEBD5" w14:textId="2F90A3A7" w:rsidR="00B3101E" w:rsidRPr="002302A2" w:rsidRDefault="007C3565">
      <w:pPr>
        <w:pStyle w:val="Pardfaut"/>
        <w:spacing w:before="0"/>
        <w:ind w:right="1046" w:firstLine="720"/>
        <w:jc w:val="center"/>
        <w:rPr>
          <w:rStyle w:val="Aucun"/>
          <w:rFonts w:ascii="Arial" w:eastAsia="Helvetica" w:hAnsi="Arial" w:cs="Arial"/>
          <w:b/>
          <w:bCs/>
          <w:color w:val="auto"/>
          <w:sz w:val="22"/>
          <w:szCs w:val="22"/>
        </w:rPr>
      </w:pPr>
      <w:r w:rsidRPr="002302A2">
        <w:rPr>
          <w:rStyle w:val="Aucun"/>
          <w:rFonts w:ascii="Arial" w:hAnsi="Arial" w:cs="Arial"/>
          <w:b/>
          <w:bCs/>
          <w:color w:val="auto"/>
          <w:sz w:val="22"/>
          <w:szCs w:val="22"/>
        </w:rPr>
        <w:t xml:space="preserve">DU </w:t>
      </w:r>
      <w:r w:rsidR="000B53D6">
        <w:rPr>
          <w:rStyle w:val="Aucun"/>
          <w:rFonts w:ascii="Arial" w:hAnsi="Arial" w:cs="Arial"/>
          <w:b/>
          <w:bCs/>
          <w:color w:val="auto"/>
          <w:sz w:val="22"/>
          <w:szCs w:val="22"/>
        </w:rPr>
        <w:t>11</w:t>
      </w:r>
      <w:r w:rsidR="00AB1127">
        <w:rPr>
          <w:rStyle w:val="Aucun"/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bookmarkStart w:id="0" w:name="_GoBack"/>
      <w:bookmarkEnd w:id="0"/>
      <w:r w:rsidRPr="002302A2">
        <w:rPr>
          <w:rStyle w:val="Aucun"/>
          <w:rFonts w:ascii="Arial" w:hAnsi="Arial" w:cs="Arial"/>
          <w:b/>
          <w:bCs/>
          <w:color w:val="auto"/>
          <w:sz w:val="22"/>
          <w:szCs w:val="22"/>
        </w:rPr>
        <w:t>FEVRIER 2021</w:t>
      </w:r>
    </w:p>
    <w:p w14:paraId="47CA025A" w14:textId="4E8A4DA9" w:rsidR="00B3101E" w:rsidRPr="002302A2" w:rsidRDefault="00B3101E">
      <w:pPr>
        <w:pStyle w:val="Pardfaut"/>
        <w:spacing w:before="0"/>
        <w:ind w:right="763"/>
        <w:jc w:val="center"/>
        <w:rPr>
          <w:rStyle w:val="Aucun"/>
          <w:rFonts w:ascii="Arial" w:eastAsia="Helvetica" w:hAnsi="Arial" w:cs="Arial"/>
          <w:b/>
          <w:bCs/>
          <w:color w:val="auto"/>
          <w:sz w:val="22"/>
          <w:szCs w:val="22"/>
        </w:rPr>
      </w:pPr>
    </w:p>
    <w:p w14:paraId="2AD22B08" w14:textId="77777777" w:rsidR="00EC20EA" w:rsidRPr="002302A2" w:rsidRDefault="00EC20EA">
      <w:pPr>
        <w:pStyle w:val="Pardfaut"/>
        <w:spacing w:before="0"/>
        <w:ind w:right="763"/>
        <w:jc w:val="center"/>
        <w:rPr>
          <w:rStyle w:val="Aucun"/>
          <w:rFonts w:ascii="Arial" w:eastAsia="Helvetica" w:hAnsi="Arial" w:cs="Arial"/>
          <w:b/>
          <w:bCs/>
          <w:color w:val="auto"/>
          <w:sz w:val="22"/>
          <w:szCs w:val="22"/>
        </w:rPr>
      </w:pPr>
    </w:p>
    <w:p w14:paraId="2BC90479" w14:textId="5A723E01" w:rsidR="00B3101E" w:rsidRPr="002302A2" w:rsidRDefault="00905147" w:rsidP="003905F2">
      <w:pPr>
        <w:pStyle w:val="Pardfaut"/>
        <w:spacing w:before="0"/>
        <w:ind w:right="763"/>
        <w:jc w:val="both"/>
        <w:rPr>
          <w:rStyle w:val="Aucun"/>
          <w:rFonts w:ascii="Arial" w:eastAsia="Helvetica" w:hAnsi="Arial" w:cs="Arial"/>
          <w:i/>
          <w:iCs/>
          <w:color w:val="auto"/>
          <w:sz w:val="22"/>
          <w:szCs w:val="22"/>
        </w:rPr>
      </w:pPr>
      <w:r w:rsidRPr="002302A2">
        <w:rPr>
          <w:rStyle w:val="Aucun"/>
          <w:rFonts w:ascii="Arial" w:eastAsia="Helvetica" w:hAnsi="Arial" w:cs="Arial"/>
          <w:i/>
          <w:iCs/>
          <w:color w:val="auto"/>
          <w:sz w:val="22"/>
          <w:szCs w:val="22"/>
        </w:rPr>
        <w:t xml:space="preserve">Vu </w:t>
      </w:r>
      <w:r w:rsidR="003905F2" w:rsidRPr="002302A2">
        <w:rPr>
          <w:rStyle w:val="Aucun"/>
          <w:rFonts w:ascii="Arial" w:eastAsia="Helvetica" w:hAnsi="Arial" w:cs="Arial"/>
          <w:i/>
          <w:iCs/>
          <w:color w:val="auto"/>
          <w:sz w:val="22"/>
          <w:szCs w:val="22"/>
        </w:rPr>
        <w:t xml:space="preserve">la motion du Conseil National des Barreaux adoptée en Assemblée Générale le 22 janvier 2021, </w:t>
      </w:r>
    </w:p>
    <w:p w14:paraId="5D9ED969" w14:textId="77777777" w:rsidR="003905F2" w:rsidRPr="002302A2" w:rsidRDefault="003905F2" w:rsidP="003905F2">
      <w:pPr>
        <w:pStyle w:val="Pardfaut"/>
        <w:spacing w:before="0"/>
        <w:ind w:right="763"/>
        <w:jc w:val="both"/>
        <w:rPr>
          <w:rStyle w:val="Aucun"/>
          <w:rFonts w:ascii="Arial" w:eastAsia="Helvetica" w:hAnsi="Arial" w:cs="Arial"/>
          <w:i/>
          <w:iCs/>
          <w:color w:val="auto"/>
          <w:sz w:val="22"/>
          <w:szCs w:val="22"/>
        </w:rPr>
      </w:pPr>
    </w:p>
    <w:p w14:paraId="4E1997FF" w14:textId="008BBFFD" w:rsidR="003905F2" w:rsidRPr="002302A2" w:rsidRDefault="003905F2" w:rsidP="003905F2">
      <w:pPr>
        <w:pStyle w:val="Pardfaut"/>
        <w:spacing w:before="0"/>
        <w:ind w:right="763"/>
        <w:jc w:val="both"/>
        <w:rPr>
          <w:rStyle w:val="Aucun"/>
          <w:rFonts w:ascii="Arial" w:eastAsia="Helvetica" w:hAnsi="Arial" w:cs="Arial"/>
          <w:i/>
          <w:iCs/>
          <w:color w:val="auto"/>
          <w:sz w:val="22"/>
          <w:szCs w:val="22"/>
        </w:rPr>
      </w:pPr>
    </w:p>
    <w:p w14:paraId="59BD5E43" w14:textId="47615F4E" w:rsidR="00B3101E" w:rsidRPr="002302A2" w:rsidRDefault="007C3565">
      <w:pPr>
        <w:pStyle w:val="Pardfaut"/>
        <w:spacing w:before="0"/>
        <w:ind w:right="128"/>
        <w:jc w:val="both"/>
        <w:rPr>
          <w:rStyle w:val="Aucun"/>
          <w:rFonts w:ascii="Arial" w:eastAsia="Helvetica" w:hAnsi="Arial" w:cs="Arial"/>
          <w:color w:val="auto"/>
          <w:sz w:val="22"/>
          <w:szCs w:val="22"/>
        </w:rPr>
      </w:pP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Le Conseil de l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’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Ordre du Barreau des Hauts-de-Seine, sous la présidence de Monsieur le B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â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tonnier Michel GUICHARD, a adopté, dans sa séance du </w:t>
      </w:r>
      <w:r w:rsidR="000B53D6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11 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février 2021, la résolution suivante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 :</w:t>
      </w:r>
    </w:p>
    <w:p w14:paraId="50D6150B" w14:textId="77777777" w:rsidR="00B3101E" w:rsidRPr="002302A2" w:rsidRDefault="00B3101E">
      <w:pPr>
        <w:pStyle w:val="Pardfaut"/>
        <w:spacing w:before="0"/>
        <w:ind w:right="763"/>
        <w:jc w:val="both"/>
        <w:rPr>
          <w:rStyle w:val="Aucun"/>
          <w:rFonts w:ascii="Arial" w:eastAsia="Helvetica" w:hAnsi="Arial" w:cs="Arial"/>
          <w:color w:val="auto"/>
          <w:sz w:val="22"/>
          <w:szCs w:val="22"/>
        </w:rPr>
      </w:pPr>
    </w:p>
    <w:p w14:paraId="3FF225A1" w14:textId="293AB8B1" w:rsidR="00B3101E" w:rsidRPr="002302A2" w:rsidRDefault="007C3565">
      <w:pPr>
        <w:pStyle w:val="Pardfaut"/>
        <w:spacing w:before="0"/>
        <w:ind w:right="128"/>
        <w:jc w:val="both"/>
        <w:rPr>
          <w:rStyle w:val="Aucun"/>
          <w:rFonts w:ascii="Arial" w:eastAsia="Helvetica" w:hAnsi="Arial" w:cs="Arial"/>
          <w:color w:val="auto"/>
          <w:sz w:val="22"/>
          <w:szCs w:val="22"/>
        </w:rPr>
      </w:pPr>
      <w:r w:rsidRPr="002302A2">
        <w:rPr>
          <w:rStyle w:val="Aucun"/>
          <w:rFonts w:ascii="Arial" w:hAnsi="Arial" w:cs="Arial"/>
          <w:color w:val="auto"/>
          <w:sz w:val="22"/>
          <w:szCs w:val="22"/>
          <w:u w:color="FF2600"/>
          <w:lang w:val="fr-FR"/>
        </w:rPr>
        <w:t>C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onnaissance </w:t>
      </w:r>
      <w:r w:rsidRPr="002302A2">
        <w:rPr>
          <w:rStyle w:val="Aucun"/>
          <w:rFonts w:ascii="Arial" w:hAnsi="Arial" w:cs="Arial"/>
          <w:color w:val="auto"/>
          <w:sz w:val="22"/>
          <w:szCs w:val="22"/>
          <w:u w:color="FF2600"/>
          <w:lang w:val="fr-FR"/>
        </w:rPr>
        <w:t>prise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 de l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’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avant-projet </w:t>
      </w:r>
      <w:r w:rsidRPr="002302A2">
        <w:rPr>
          <w:rStyle w:val="Aucun"/>
          <w:rFonts w:ascii="Arial" w:hAnsi="Arial" w:cs="Arial"/>
          <w:color w:val="auto"/>
          <w:sz w:val="22"/>
          <w:szCs w:val="22"/>
          <w:u w:color="FF2600"/>
          <w:lang w:val="fr-FR"/>
        </w:rPr>
        <w:t xml:space="preserve">de loi visant à créer à titre expérimental un 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avocat salari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é en entreprise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 </w:t>
      </w:r>
      <w:r w:rsidRPr="002302A2">
        <w:rPr>
          <w:rStyle w:val="Aucun"/>
          <w:rFonts w:ascii="Arial" w:hAnsi="Arial" w:cs="Arial"/>
          <w:color w:val="auto"/>
          <w:sz w:val="22"/>
          <w:szCs w:val="22"/>
          <w:u w:color="FF2600"/>
          <w:lang w:val="fr-FR"/>
        </w:rPr>
        <w:t xml:space="preserve">et 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de la volonté exprimée par le Garde des Sceaux le 29 janvier 2021 au cours de l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’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Assemblé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e G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é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n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érale de la Conférence des B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â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tonniers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 d’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ouvrir la plus large concertation avec la profession d'avocat ;</w:t>
      </w:r>
    </w:p>
    <w:p w14:paraId="479A7B23" w14:textId="77777777" w:rsidR="00B3101E" w:rsidRPr="002302A2" w:rsidRDefault="00B3101E">
      <w:pPr>
        <w:pStyle w:val="Pardfaut"/>
        <w:spacing w:before="0"/>
        <w:ind w:right="128"/>
        <w:jc w:val="both"/>
        <w:rPr>
          <w:rStyle w:val="Aucun"/>
          <w:rFonts w:ascii="Arial" w:eastAsia="Helvetica" w:hAnsi="Arial" w:cs="Arial"/>
          <w:color w:val="auto"/>
          <w:sz w:val="22"/>
          <w:szCs w:val="22"/>
        </w:rPr>
      </w:pPr>
    </w:p>
    <w:p w14:paraId="0C72CBE7" w14:textId="20A10366" w:rsidR="00B3101E" w:rsidRPr="002302A2" w:rsidRDefault="007C3565">
      <w:pPr>
        <w:pStyle w:val="Pardfaut"/>
        <w:spacing w:before="0"/>
        <w:ind w:right="128"/>
        <w:jc w:val="both"/>
        <w:rPr>
          <w:rStyle w:val="Aucun"/>
          <w:rFonts w:ascii="Arial" w:eastAsia="Helvetica" w:hAnsi="Arial" w:cs="Arial"/>
          <w:color w:val="auto"/>
          <w:sz w:val="22"/>
          <w:szCs w:val="22"/>
        </w:rPr>
      </w:pPr>
      <w:r w:rsidRPr="002302A2">
        <w:rPr>
          <w:rStyle w:val="Aucun"/>
          <w:rFonts w:ascii="Arial" w:hAnsi="Arial" w:cs="Arial"/>
          <w:color w:val="auto"/>
          <w:sz w:val="22"/>
          <w:szCs w:val="22"/>
          <w:lang w:val="it-IT"/>
        </w:rPr>
        <w:t>Considè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re que toute réforme visant 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 xml:space="preserve">à </w:t>
      </w:r>
      <w:r w:rsidR="003905F2" w:rsidRPr="002302A2">
        <w:rPr>
          <w:rStyle w:val="Aucun"/>
          <w:rFonts w:ascii="Arial" w:hAnsi="Arial" w:cs="Arial"/>
          <w:color w:val="auto"/>
          <w:sz w:val="22"/>
          <w:szCs w:val="22"/>
        </w:rPr>
        <w:t xml:space="preserve">assurer la sécurité juridique des 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entreprises et 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 xml:space="preserve">à 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maintenir leur attractivité et celle du droit fran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ç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pt-PT"/>
        </w:rPr>
        <w:t>ais m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érite d’être soutenue</w:t>
      </w:r>
      <w:r w:rsidR="00B622A6"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 pour leur permettre de mieux affronter un environnement international très concurrentiel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 xml:space="preserve">;  </w:t>
      </w:r>
    </w:p>
    <w:p w14:paraId="2B051CC2" w14:textId="77777777" w:rsidR="00B3101E" w:rsidRPr="002302A2" w:rsidRDefault="00B3101E">
      <w:pPr>
        <w:pStyle w:val="Pardfaut"/>
        <w:spacing w:before="0"/>
        <w:ind w:right="128"/>
        <w:jc w:val="both"/>
        <w:rPr>
          <w:rStyle w:val="Aucun"/>
          <w:rFonts w:ascii="Arial" w:eastAsia="Helvetica" w:hAnsi="Arial" w:cs="Arial"/>
          <w:color w:val="auto"/>
          <w:sz w:val="22"/>
          <w:szCs w:val="22"/>
        </w:rPr>
      </w:pPr>
    </w:p>
    <w:p w14:paraId="393241DB" w14:textId="3D84B968" w:rsidR="00B3101E" w:rsidRDefault="007C3565">
      <w:pPr>
        <w:pStyle w:val="Pardfaut"/>
        <w:spacing w:before="0"/>
        <w:ind w:right="128"/>
        <w:jc w:val="both"/>
        <w:rPr>
          <w:rStyle w:val="Aucun"/>
          <w:rFonts w:ascii="Arial" w:hAnsi="Arial" w:cs="Arial"/>
          <w:color w:val="auto"/>
          <w:sz w:val="22"/>
          <w:szCs w:val="22"/>
        </w:rPr>
      </w:pP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Affirme de fa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ç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it-IT"/>
        </w:rPr>
        <w:t>on solennelle qu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’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une telle réforme ne peut conduire 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à alt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érer les principes fondamentaux qui gouvernent l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’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exercice de la profession d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 xml:space="preserve">’avocat ; </w:t>
      </w:r>
    </w:p>
    <w:p w14:paraId="27C9AF7D" w14:textId="77777777" w:rsidR="005277D1" w:rsidRPr="002302A2" w:rsidRDefault="005277D1">
      <w:pPr>
        <w:pStyle w:val="Pardfaut"/>
        <w:spacing w:before="0"/>
        <w:ind w:right="128"/>
        <w:jc w:val="both"/>
        <w:rPr>
          <w:rStyle w:val="Aucun"/>
          <w:rFonts w:ascii="Arial" w:eastAsia="Helvetica" w:hAnsi="Arial" w:cs="Arial"/>
          <w:color w:val="auto"/>
          <w:sz w:val="22"/>
          <w:szCs w:val="22"/>
        </w:rPr>
      </w:pPr>
    </w:p>
    <w:p w14:paraId="39DA87C5" w14:textId="6978D96B" w:rsidR="00B3101E" w:rsidRPr="002302A2" w:rsidRDefault="007C3565">
      <w:pPr>
        <w:pStyle w:val="Pardfaut"/>
        <w:spacing w:before="0"/>
        <w:ind w:right="128"/>
        <w:jc w:val="both"/>
        <w:rPr>
          <w:rStyle w:val="Aucun"/>
          <w:rFonts w:ascii="Arial" w:eastAsia="Helvetica" w:hAnsi="Arial" w:cs="Arial"/>
          <w:color w:val="auto"/>
          <w:sz w:val="22"/>
          <w:szCs w:val="22"/>
        </w:rPr>
      </w:pP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Estime que le statut de l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 xml:space="preserve">’avocat </w:t>
      </w:r>
      <w:r w:rsidRPr="002302A2">
        <w:rPr>
          <w:rStyle w:val="Aucun"/>
          <w:rFonts w:ascii="Arial" w:hAnsi="Arial" w:cs="Arial"/>
          <w:color w:val="auto"/>
          <w:sz w:val="22"/>
          <w:szCs w:val="22"/>
          <w:u w:color="FF2600"/>
          <w:lang w:val="fr-FR"/>
        </w:rPr>
        <w:t>salarié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 en entreprise tel que proposé 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es-ES_tradnl"/>
        </w:rPr>
        <w:t>en l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’état ne peut 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ê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tre accepté, et encore moins expé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it-IT"/>
        </w:rPr>
        <w:t>riment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é, dans la mesure o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it-IT"/>
        </w:rPr>
        <w:t xml:space="preserve">ù 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ne sont garantis ni </w:t>
      </w:r>
      <w:r w:rsidRPr="002302A2">
        <w:rPr>
          <w:rStyle w:val="Aucun"/>
          <w:rFonts w:ascii="Arial" w:hAnsi="Arial" w:cs="Arial"/>
          <w:color w:val="auto"/>
          <w:sz w:val="22"/>
          <w:szCs w:val="22"/>
          <w:u w:color="FF2600"/>
          <w:lang w:val="fr-FR"/>
        </w:rPr>
        <w:t>l’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ind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épendance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 </w:t>
      </w:r>
      <w:r w:rsidRPr="002302A2">
        <w:rPr>
          <w:rStyle w:val="Aucun"/>
          <w:rFonts w:ascii="Arial" w:hAnsi="Arial" w:cs="Arial"/>
          <w:color w:val="auto"/>
          <w:sz w:val="22"/>
          <w:szCs w:val="22"/>
          <w:u w:color="FF2600"/>
          <w:lang w:val="fr-FR"/>
        </w:rPr>
        <w:t>(principe essentiel de la profession)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 ni le respect </w:t>
      </w:r>
      <w:r w:rsidRPr="002302A2">
        <w:rPr>
          <w:rStyle w:val="Aucun"/>
          <w:rFonts w:ascii="Arial" w:hAnsi="Arial" w:cs="Arial"/>
          <w:color w:val="auto"/>
          <w:sz w:val="22"/>
          <w:szCs w:val="22"/>
          <w:u w:color="FF2600"/>
          <w:lang w:val="fr-FR"/>
        </w:rPr>
        <w:t>du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 secret professionnel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 </w:t>
      </w:r>
      <w:r w:rsidRPr="002302A2">
        <w:rPr>
          <w:rStyle w:val="Aucun"/>
          <w:rFonts w:ascii="Arial" w:hAnsi="Arial" w:cs="Arial"/>
          <w:color w:val="auto"/>
          <w:sz w:val="22"/>
          <w:szCs w:val="22"/>
          <w:u w:color="FF2600"/>
          <w:lang w:val="fr-FR"/>
        </w:rPr>
        <w:t xml:space="preserve">(absolu et sans limite) 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;</w:t>
      </w:r>
    </w:p>
    <w:p w14:paraId="0F975295" w14:textId="77777777" w:rsidR="00B3101E" w:rsidRPr="002302A2" w:rsidRDefault="00B3101E">
      <w:pPr>
        <w:pStyle w:val="Pardfaut"/>
        <w:spacing w:before="0"/>
        <w:ind w:right="128"/>
        <w:jc w:val="both"/>
        <w:rPr>
          <w:rStyle w:val="Aucun"/>
          <w:rFonts w:ascii="Arial" w:eastAsia="Helvetica" w:hAnsi="Arial" w:cs="Arial"/>
          <w:color w:val="auto"/>
          <w:sz w:val="22"/>
          <w:szCs w:val="22"/>
        </w:rPr>
      </w:pPr>
    </w:p>
    <w:p w14:paraId="6A2FEF26" w14:textId="28562491" w:rsidR="00B3101E" w:rsidRPr="002302A2" w:rsidRDefault="007C3565">
      <w:pPr>
        <w:pStyle w:val="Pardfaut"/>
        <w:spacing w:before="0"/>
        <w:ind w:right="128"/>
        <w:jc w:val="both"/>
        <w:rPr>
          <w:rStyle w:val="Aucun"/>
          <w:rFonts w:ascii="Arial" w:eastAsia="Calibri" w:hAnsi="Arial" w:cs="Arial"/>
          <w:color w:val="auto"/>
          <w:sz w:val="22"/>
          <w:szCs w:val="22"/>
        </w:rPr>
      </w:pP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Souligne en particulier l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’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importance du B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â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tonnier et le r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ô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es-ES_tradnl"/>
        </w:rPr>
        <w:t>le qu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’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il a 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 xml:space="preserve">à 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jouer tant dans l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’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arbitrage des diffé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rends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,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 xml:space="preserve"> 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dans les perquisitions </w:t>
      </w:r>
      <w:r w:rsidRPr="002302A2">
        <w:rPr>
          <w:rStyle w:val="Aucun"/>
          <w:rFonts w:ascii="Arial" w:hAnsi="Arial" w:cs="Arial"/>
          <w:color w:val="auto"/>
          <w:sz w:val="22"/>
          <w:szCs w:val="22"/>
          <w:u w:color="FF2600"/>
          <w:lang w:val="fr-FR"/>
        </w:rPr>
        <w:t>que dans la discipline,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 qui ne peut souffrir des restrictions figurant dans l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’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avant-projet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 ;</w:t>
      </w:r>
    </w:p>
    <w:p w14:paraId="4BF67E43" w14:textId="77777777" w:rsidR="00B3101E" w:rsidRPr="002302A2" w:rsidRDefault="007C3565">
      <w:pPr>
        <w:pStyle w:val="Pardfaut"/>
        <w:spacing w:before="0"/>
        <w:ind w:right="128"/>
        <w:jc w:val="both"/>
        <w:rPr>
          <w:rStyle w:val="Aucun"/>
          <w:rFonts w:ascii="Arial" w:eastAsia="Calibri" w:hAnsi="Arial" w:cs="Arial"/>
          <w:color w:val="auto"/>
          <w:sz w:val="22"/>
          <w:szCs w:val="22"/>
        </w:rPr>
      </w:pPr>
      <w:r w:rsidRPr="002302A2">
        <w:rPr>
          <w:rStyle w:val="Aucun"/>
          <w:rFonts w:ascii="Arial" w:hAnsi="Arial" w:cs="Arial"/>
          <w:color w:val="auto"/>
          <w:sz w:val="22"/>
          <w:szCs w:val="22"/>
        </w:rPr>
        <w:t> </w:t>
      </w:r>
    </w:p>
    <w:p w14:paraId="7B22D966" w14:textId="6CD09A83" w:rsidR="003B4A9B" w:rsidRPr="002302A2" w:rsidRDefault="007C3565">
      <w:pPr>
        <w:pStyle w:val="Pardfaut"/>
        <w:spacing w:before="0"/>
        <w:ind w:right="128"/>
        <w:jc w:val="both"/>
        <w:rPr>
          <w:rStyle w:val="Aucun"/>
          <w:rFonts w:ascii="Arial" w:hAnsi="Arial" w:cs="Arial"/>
          <w:color w:val="auto"/>
          <w:sz w:val="22"/>
          <w:szCs w:val="22"/>
          <w:lang w:val="fr-FR"/>
        </w:rPr>
      </w:pP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Demande 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 xml:space="preserve">à 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participer 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 xml:space="preserve">à 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la concertation et aux travaux préparatoires 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 xml:space="preserve">à 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la rédaction d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’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un nouveau texte</w:t>
      </w:r>
      <w:r w:rsidR="004E7FB4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 </w:t>
      </w:r>
      <w:r w:rsidR="003B4A9B"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correspondant à l’objectif de protéger les avis juridiques internes aux entreprises en s’inspirant notamment de l’expérience des autres Etats qui ont mis en place soit l’avocat en entreprise, soit un légal privilege ;</w:t>
      </w:r>
    </w:p>
    <w:p w14:paraId="7C523B48" w14:textId="70A8701F" w:rsidR="00B3101E" w:rsidRPr="002302A2" w:rsidRDefault="00B3101E">
      <w:pPr>
        <w:pStyle w:val="Pardfaut"/>
        <w:spacing w:before="0"/>
        <w:ind w:right="128"/>
        <w:jc w:val="both"/>
        <w:rPr>
          <w:rStyle w:val="Aucun"/>
          <w:rFonts w:ascii="Arial" w:eastAsia="Helvetica" w:hAnsi="Arial" w:cs="Arial"/>
          <w:color w:val="auto"/>
          <w:sz w:val="22"/>
          <w:szCs w:val="22"/>
        </w:rPr>
      </w:pPr>
    </w:p>
    <w:p w14:paraId="79B93263" w14:textId="5118C6FF" w:rsidR="00B3101E" w:rsidRPr="002302A2" w:rsidRDefault="007C3565">
      <w:pPr>
        <w:pStyle w:val="Pardfaut"/>
        <w:spacing w:before="0"/>
        <w:ind w:right="128"/>
        <w:jc w:val="both"/>
        <w:rPr>
          <w:rStyle w:val="Aucun"/>
          <w:rFonts w:ascii="Arial" w:eastAsia="Helvetica" w:hAnsi="Arial" w:cs="Arial"/>
          <w:color w:val="auto"/>
          <w:sz w:val="22"/>
          <w:szCs w:val="22"/>
        </w:rPr>
      </w:pP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Insiste néanmoins sur la né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it-IT"/>
        </w:rPr>
        <w:t>cessit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é que ces travaux s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’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attachent fermement au respect des principes fondamentaux de la profession d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’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avocat en France et soient mené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nl-NL"/>
        </w:rPr>
        <w:t>s en m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ê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me temps qu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’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une réflexion sur la protection du secret professionnel de l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’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avocat, de plus en plus bafoué, et sur la réaffirmation de son caract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it-IT"/>
        </w:rPr>
        <w:t>è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 xml:space="preserve">re </w:t>
      </w:r>
      <w:r w:rsidRPr="002302A2">
        <w:rPr>
          <w:rStyle w:val="Aucun"/>
          <w:rFonts w:ascii="Arial" w:hAnsi="Arial" w:cs="Arial"/>
          <w:color w:val="auto"/>
          <w:sz w:val="22"/>
          <w:szCs w:val="22"/>
          <w:u w:color="FF2600"/>
          <w:lang w:val="fr-FR"/>
        </w:rPr>
        <w:t>général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, absolu et illimité, sans qu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’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il puisse 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ê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tre établi une quelconque distinction entre défense et conseil.</w:t>
      </w:r>
    </w:p>
    <w:p w14:paraId="50CEFC45" w14:textId="77777777" w:rsidR="00B3101E" w:rsidRPr="002302A2" w:rsidRDefault="00B3101E">
      <w:pPr>
        <w:pStyle w:val="Pardfaut"/>
        <w:spacing w:before="0"/>
        <w:ind w:right="128"/>
        <w:jc w:val="both"/>
        <w:rPr>
          <w:rStyle w:val="Aucun"/>
          <w:rFonts w:ascii="Arial" w:eastAsia="Times Roman" w:hAnsi="Arial" w:cs="Arial"/>
          <w:color w:val="auto"/>
          <w:sz w:val="22"/>
          <w:szCs w:val="22"/>
        </w:rPr>
      </w:pPr>
    </w:p>
    <w:p w14:paraId="2FB0CA18" w14:textId="77777777" w:rsidR="00B3101E" w:rsidRPr="002302A2" w:rsidRDefault="00B3101E">
      <w:pPr>
        <w:pStyle w:val="Pardfaut"/>
        <w:spacing w:before="0"/>
        <w:ind w:right="128"/>
        <w:jc w:val="both"/>
        <w:rPr>
          <w:rStyle w:val="Aucun"/>
          <w:rFonts w:ascii="Arial" w:eastAsia="Times Roman" w:hAnsi="Arial" w:cs="Arial"/>
          <w:color w:val="auto"/>
          <w:sz w:val="22"/>
          <w:szCs w:val="22"/>
        </w:rPr>
      </w:pPr>
    </w:p>
    <w:p w14:paraId="2C45CB31" w14:textId="77777777" w:rsidR="00B3101E" w:rsidRPr="002302A2" w:rsidRDefault="007C3565">
      <w:pPr>
        <w:pStyle w:val="Pardfaut"/>
        <w:spacing w:before="0"/>
        <w:ind w:right="128"/>
        <w:jc w:val="both"/>
        <w:rPr>
          <w:rStyle w:val="Aucun"/>
          <w:rFonts w:ascii="Arial" w:eastAsia="Helvetica" w:hAnsi="Arial" w:cs="Arial"/>
          <w:color w:val="auto"/>
          <w:sz w:val="22"/>
          <w:szCs w:val="22"/>
        </w:rPr>
      </w:pP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Fait 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 xml:space="preserve">à 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Nanterre,</w:t>
      </w:r>
    </w:p>
    <w:p w14:paraId="0C90F3CA" w14:textId="6D154F06" w:rsidR="00B3101E" w:rsidRPr="002302A2" w:rsidRDefault="007C3565">
      <w:pPr>
        <w:pStyle w:val="Pardfaut"/>
        <w:spacing w:before="0"/>
        <w:ind w:right="128"/>
        <w:jc w:val="both"/>
        <w:rPr>
          <w:rStyle w:val="Aucun"/>
          <w:rFonts w:ascii="Arial" w:eastAsia="Helvetica" w:hAnsi="Arial" w:cs="Arial"/>
          <w:color w:val="auto"/>
          <w:sz w:val="22"/>
          <w:szCs w:val="22"/>
        </w:rPr>
      </w:pPr>
      <w:r w:rsidRPr="002302A2">
        <w:rPr>
          <w:rStyle w:val="Aucun"/>
          <w:rFonts w:ascii="Arial" w:hAnsi="Arial" w:cs="Arial"/>
          <w:color w:val="auto"/>
          <w:sz w:val="22"/>
          <w:szCs w:val="22"/>
        </w:rPr>
        <w:t xml:space="preserve">Le </w:t>
      </w:r>
      <w:r w:rsidR="000B53D6">
        <w:rPr>
          <w:rStyle w:val="Aucun"/>
          <w:rFonts w:ascii="Arial" w:hAnsi="Arial" w:cs="Arial"/>
          <w:color w:val="auto"/>
          <w:sz w:val="22"/>
          <w:szCs w:val="22"/>
          <w:lang w:val="fr-FR"/>
        </w:rPr>
        <w:t xml:space="preserve">11 </w:t>
      </w:r>
      <w:r w:rsidRPr="002302A2">
        <w:rPr>
          <w:rStyle w:val="Aucun"/>
          <w:rFonts w:ascii="Arial" w:hAnsi="Arial" w:cs="Arial"/>
          <w:color w:val="auto"/>
          <w:sz w:val="22"/>
          <w:szCs w:val="22"/>
        </w:rPr>
        <w:t>f</w:t>
      </w:r>
      <w:r w:rsidRPr="002302A2">
        <w:rPr>
          <w:rStyle w:val="Aucun"/>
          <w:rFonts w:ascii="Arial" w:hAnsi="Arial" w:cs="Arial"/>
          <w:color w:val="auto"/>
          <w:sz w:val="22"/>
          <w:szCs w:val="22"/>
          <w:lang w:val="fr-FR"/>
        </w:rPr>
        <w:t>évrier 2021</w:t>
      </w:r>
    </w:p>
    <w:p w14:paraId="2FE54FD2" w14:textId="77777777" w:rsidR="00B3101E" w:rsidRPr="002302A2" w:rsidRDefault="00B3101E">
      <w:pPr>
        <w:pStyle w:val="Pardfaut"/>
        <w:spacing w:before="0"/>
        <w:ind w:right="128"/>
        <w:jc w:val="both"/>
        <w:rPr>
          <w:rStyle w:val="Aucun"/>
          <w:rFonts w:ascii="Arial" w:eastAsia="Helvetica" w:hAnsi="Arial" w:cs="Arial"/>
          <w:color w:val="auto"/>
          <w:sz w:val="22"/>
          <w:szCs w:val="22"/>
        </w:rPr>
      </w:pPr>
    </w:p>
    <w:p w14:paraId="0B33F10D" w14:textId="77777777" w:rsidR="00B3101E" w:rsidRPr="002302A2" w:rsidRDefault="00B3101E">
      <w:pPr>
        <w:pStyle w:val="Pardfaut"/>
        <w:spacing w:before="0"/>
        <w:ind w:right="128"/>
        <w:jc w:val="both"/>
        <w:rPr>
          <w:rStyle w:val="Aucun"/>
          <w:rFonts w:ascii="Arial" w:eastAsia="Helvetica" w:hAnsi="Arial" w:cs="Arial"/>
          <w:color w:val="auto"/>
          <w:sz w:val="22"/>
          <w:szCs w:val="22"/>
        </w:rPr>
      </w:pPr>
    </w:p>
    <w:p w14:paraId="62B33751" w14:textId="77777777" w:rsidR="00B3101E" w:rsidRPr="002302A2" w:rsidRDefault="00B3101E">
      <w:pPr>
        <w:pStyle w:val="Pardfaut"/>
        <w:spacing w:before="0"/>
        <w:ind w:right="128"/>
        <w:jc w:val="both"/>
        <w:rPr>
          <w:rStyle w:val="Aucun"/>
          <w:rFonts w:ascii="Arial" w:eastAsia="Helvetica" w:hAnsi="Arial" w:cs="Arial"/>
          <w:color w:val="auto"/>
          <w:sz w:val="22"/>
          <w:szCs w:val="22"/>
        </w:rPr>
      </w:pPr>
    </w:p>
    <w:p w14:paraId="105E1617" w14:textId="77777777" w:rsidR="00B3101E" w:rsidRPr="002302A2" w:rsidRDefault="00B3101E">
      <w:pPr>
        <w:pStyle w:val="Pardfaut"/>
        <w:spacing w:before="0"/>
        <w:ind w:right="128"/>
        <w:jc w:val="both"/>
        <w:rPr>
          <w:rStyle w:val="Aucun"/>
          <w:rFonts w:ascii="Arial" w:eastAsia="Helvetica" w:hAnsi="Arial" w:cs="Arial"/>
          <w:color w:val="auto"/>
          <w:sz w:val="22"/>
          <w:szCs w:val="22"/>
        </w:rPr>
      </w:pPr>
    </w:p>
    <w:p w14:paraId="048226E8" w14:textId="77777777" w:rsidR="00B3101E" w:rsidRPr="002302A2" w:rsidRDefault="007C3565">
      <w:pPr>
        <w:pStyle w:val="Pardfaut"/>
        <w:spacing w:before="0"/>
        <w:ind w:right="128"/>
        <w:jc w:val="both"/>
        <w:rPr>
          <w:rStyle w:val="Aucun"/>
          <w:rFonts w:ascii="Arial" w:eastAsia="Helvetica" w:hAnsi="Arial" w:cs="Arial"/>
          <w:color w:val="auto"/>
          <w:sz w:val="22"/>
          <w:szCs w:val="22"/>
        </w:rPr>
      </w:pPr>
      <w:r w:rsidRPr="002302A2">
        <w:rPr>
          <w:rStyle w:val="Aucun"/>
          <w:rFonts w:ascii="Arial" w:hAnsi="Arial" w:cs="Arial"/>
          <w:color w:val="auto"/>
          <w:sz w:val="22"/>
          <w:szCs w:val="22"/>
        </w:rPr>
        <w:t>Michel Guichard</w:t>
      </w:r>
    </w:p>
    <w:p w14:paraId="101B4EC0" w14:textId="77777777" w:rsidR="00B3101E" w:rsidRPr="002302A2" w:rsidRDefault="007C3565">
      <w:pPr>
        <w:pStyle w:val="Pardfaut"/>
        <w:spacing w:before="0"/>
        <w:ind w:right="128"/>
        <w:jc w:val="both"/>
        <w:rPr>
          <w:rFonts w:ascii="Arial" w:hAnsi="Arial" w:cs="Arial"/>
          <w:color w:val="auto"/>
          <w:sz w:val="22"/>
          <w:szCs w:val="22"/>
        </w:rPr>
      </w:pPr>
      <w:r w:rsidRPr="002302A2">
        <w:rPr>
          <w:rStyle w:val="Aucun"/>
          <w:rFonts w:ascii="Arial" w:hAnsi="Arial" w:cs="Arial"/>
          <w:color w:val="auto"/>
          <w:sz w:val="22"/>
          <w:szCs w:val="22"/>
        </w:rPr>
        <w:t>Bâtonnier des Hauts-de-Seine</w:t>
      </w:r>
    </w:p>
    <w:sectPr w:rsidR="00B3101E" w:rsidRPr="00230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AE566" w14:textId="77777777" w:rsidR="00BE60F8" w:rsidRDefault="00BE60F8">
      <w:r>
        <w:separator/>
      </w:r>
    </w:p>
  </w:endnote>
  <w:endnote w:type="continuationSeparator" w:id="0">
    <w:p w14:paraId="3CBB29CA" w14:textId="77777777" w:rsidR="00BE60F8" w:rsidRDefault="00BE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6276D" w14:textId="77777777" w:rsidR="000B53D6" w:rsidRDefault="000B53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9ABDA" w14:textId="77777777" w:rsidR="00B3101E" w:rsidRDefault="00B3101E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D5BA" w14:textId="77777777" w:rsidR="000B53D6" w:rsidRDefault="000B53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547C4" w14:textId="77777777" w:rsidR="00BE60F8" w:rsidRDefault="00BE60F8">
      <w:r>
        <w:separator/>
      </w:r>
    </w:p>
  </w:footnote>
  <w:footnote w:type="continuationSeparator" w:id="0">
    <w:p w14:paraId="651B8300" w14:textId="77777777" w:rsidR="00BE60F8" w:rsidRDefault="00BE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21EA0" w14:textId="77777777" w:rsidR="000B53D6" w:rsidRDefault="000B53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AA9BA" w14:textId="77777777" w:rsidR="00B3101E" w:rsidRDefault="00B310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9F6" w14:textId="77777777" w:rsidR="000B53D6" w:rsidRDefault="000B53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1E"/>
    <w:rsid w:val="00027994"/>
    <w:rsid w:val="0003732A"/>
    <w:rsid w:val="000B53D6"/>
    <w:rsid w:val="002302A2"/>
    <w:rsid w:val="002D2C71"/>
    <w:rsid w:val="003370E3"/>
    <w:rsid w:val="003905F2"/>
    <w:rsid w:val="003B4A9B"/>
    <w:rsid w:val="004E4763"/>
    <w:rsid w:val="004E7FB4"/>
    <w:rsid w:val="005277D1"/>
    <w:rsid w:val="00575F8C"/>
    <w:rsid w:val="005D3A9C"/>
    <w:rsid w:val="00624B77"/>
    <w:rsid w:val="00636C84"/>
    <w:rsid w:val="007C3565"/>
    <w:rsid w:val="00905147"/>
    <w:rsid w:val="00906D2A"/>
    <w:rsid w:val="009B3F4B"/>
    <w:rsid w:val="009E027E"/>
    <w:rsid w:val="00A17A90"/>
    <w:rsid w:val="00AB1127"/>
    <w:rsid w:val="00AE50FC"/>
    <w:rsid w:val="00B3101E"/>
    <w:rsid w:val="00B622A6"/>
    <w:rsid w:val="00B72706"/>
    <w:rsid w:val="00B82754"/>
    <w:rsid w:val="00BE60F8"/>
    <w:rsid w:val="00C47D83"/>
    <w:rsid w:val="00E9076C"/>
    <w:rsid w:val="00EC20EA"/>
    <w:rsid w:val="00EE28E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2B48B"/>
  <w15:docId w15:val="{E55FCE44-0E08-427C-9EE4-492CCDD5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0B5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3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 JP-PC1</dc:creator>
  <cp:lastModifiedBy>Guichard, Michel</cp:lastModifiedBy>
  <cp:revision>20</cp:revision>
  <cp:lastPrinted>2021-02-09T15:54:00Z</cp:lastPrinted>
  <dcterms:created xsi:type="dcterms:W3CDTF">2021-02-09T14:57:00Z</dcterms:created>
  <dcterms:modified xsi:type="dcterms:W3CDTF">2021-02-11T19:21:00Z</dcterms:modified>
</cp:coreProperties>
</file>